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BC11" w14:textId="58E7FF13" w:rsidR="00284961" w:rsidRPr="001B0218" w:rsidRDefault="00CD6CB3" w:rsidP="0015018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bookmarkStart w:id="0" w:name="_GoBack"/>
      <w:bookmarkEnd w:id="0"/>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#88</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150181">
        <w:rPr>
          <w:rFonts w:ascii="Arial" w:eastAsia="MS Mincho" w:hAnsi="Arial" w:cs="Arial"/>
          <w:b/>
          <w:bCs/>
          <w:lang w:val="en-GB" w:eastAsia="ja-JP"/>
        </w:rPr>
        <w:t>01995</w:t>
      </w:r>
    </w:p>
    <w:p w14:paraId="508596E4" w14:textId="77777777" w:rsidR="00284961" w:rsidRPr="00284961" w:rsidRDefault="00DB7E4D" w:rsidP="00EE255D">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DB7E4D">
        <w:rPr>
          <w:rFonts w:ascii="Arial" w:eastAsia="MS Mincho" w:hAnsi="Arial" w:cs="Arial"/>
          <w:b/>
          <w:bCs/>
          <w:lang w:eastAsia="ja-JP"/>
        </w:rPr>
        <w:t xml:space="preserve">Athens, </w:t>
      </w:r>
      <w:r>
        <w:rPr>
          <w:rFonts w:ascii="Arial" w:eastAsia="MS Mincho" w:hAnsi="Arial" w:cs="Arial"/>
          <w:b/>
          <w:bCs/>
          <w:lang w:eastAsia="ja-JP"/>
        </w:rPr>
        <w:t xml:space="preserve">Greece 13th - 17th February </w:t>
      </w:r>
      <w:r w:rsidR="00EE255D" w:rsidRPr="00EE255D">
        <w:rPr>
          <w:rFonts w:ascii="Arial" w:eastAsia="MS Mincho" w:hAnsi="Arial" w:cs="Arial"/>
          <w:b/>
          <w:bCs/>
          <w:lang w:eastAsia="ja-JP"/>
        </w:rPr>
        <w:t>2017</w:t>
      </w:r>
    </w:p>
    <w:p w14:paraId="2FFA83F1" w14:textId="77777777" w:rsidR="00284961" w:rsidRPr="00284961" w:rsidRDefault="00284961" w:rsidP="00284961">
      <w:pPr>
        <w:pBdr>
          <w:top w:val="single" w:sz="4" w:space="1" w:color="auto"/>
        </w:pBdr>
        <w:spacing w:after="0"/>
        <w:jc w:val="left"/>
        <w:rPr>
          <w:b/>
          <w:kern w:val="2"/>
          <w:lang w:eastAsia="zh-CN"/>
        </w:rPr>
      </w:pPr>
    </w:p>
    <w:p w14:paraId="38A48998" w14:textId="57316EB1"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DB7E4D">
        <w:rPr>
          <w:rFonts w:ascii="Arial" w:eastAsia="Batang" w:hAnsi="Arial" w:cs="Arial"/>
          <w:b/>
          <w:bCs/>
          <w:lang w:val="en-GB"/>
        </w:rPr>
        <w:t>8</w:t>
      </w:r>
      <w:r w:rsidR="00660244">
        <w:rPr>
          <w:rFonts w:ascii="Arial" w:eastAsia="Batang" w:hAnsi="Arial" w:cs="Arial"/>
          <w:b/>
          <w:bCs/>
          <w:lang w:val="en-GB"/>
        </w:rPr>
        <w:t>.1.</w:t>
      </w:r>
      <w:r w:rsidR="00EE255D">
        <w:rPr>
          <w:rFonts w:ascii="Arial" w:eastAsia="Batang" w:hAnsi="Arial" w:cs="Arial"/>
          <w:b/>
          <w:bCs/>
          <w:lang w:val="en-GB"/>
        </w:rPr>
        <w:t>2</w:t>
      </w:r>
      <w:r w:rsidR="00660244">
        <w:rPr>
          <w:rFonts w:ascii="Arial" w:eastAsia="Batang" w:hAnsi="Arial" w:cs="Arial"/>
          <w:b/>
          <w:bCs/>
          <w:lang w:val="en-GB"/>
        </w:rPr>
        <w:t>.</w:t>
      </w:r>
      <w:r w:rsidR="00FF1DCB">
        <w:rPr>
          <w:rFonts w:ascii="Arial" w:eastAsia="Batang" w:hAnsi="Arial" w:cs="Arial"/>
          <w:b/>
          <w:bCs/>
          <w:lang w:val="en-GB"/>
        </w:rPr>
        <w:t>3.3</w:t>
      </w:r>
    </w:p>
    <w:p w14:paraId="1B3F6C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6B29B462" w14:textId="77777777"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E255D" w:rsidRPr="00EE255D">
        <w:rPr>
          <w:rFonts w:ascii="Arial" w:eastAsia="Batang" w:hAnsi="Arial" w:cs="Arial"/>
          <w:b/>
          <w:bCs/>
          <w:lang w:val="en-GB"/>
        </w:rPr>
        <w:t>On the</w:t>
      </w:r>
      <w:r w:rsidR="00676CE7">
        <w:rPr>
          <w:rFonts w:ascii="Arial" w:eastAsia="Batang" w:hAnsi="Arial" w:cs="Arial"/>
          <w:b/>
          <w:bCs/>
          <w:lang w:val="en-GB"/>
        </w:rPr>
        <w:t xml:space="preserve"> Type-II</w:t>
      </w:r>
      <w:r w:rsidR="00EE255D" w:rsidRPr="00EE255D">
        <w:rPr>
          <w:rFonts w:ascii="Arial" w:eastAsia="Batang" w:hAnsi="Arial" w:cs="Arial"/>
          <w:b/>
          <w:bCs/>
          <w:lang w:val="en-GB"/>
        </w:rPr>
        <w:t xml:space="preserve"> </w:t>
      </w:r>
      <w:r w:rsidR="00DB7E4D">
        <w:rPr>
          <w:rFonts w:ascii="Arial" w:eastAsia="Batang" w:hAnsi="Arial" w:cs="Arial"/>
          <w:b/>
          <w:bCs/>
          <w:lang w:val="en-GB"/>
        </w:rPr>
        <w:t>CSI</w:t>
      </w:r>
      <w:r w:rsidR="00EE255D" w:rsidRPr="00EE255D">
        <w:rPr>
          <w:rFonts w:ascii="Arial" w:eastAsia="Batang" w:hAnsi="Arial" w:cs="Arial"/>
          <w:b/>
          <w:bCs/>
          <w:lang w:val="en-GB"/>
        </w:rPr>
        <w:t xml:space="preserve"> feedback for NR</w:t>
      </w:r>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Heading1"/>
      </w:pPr>
      <w:bookmarkStart w:id="1" w:name="_Ref124589705"/>
      <w:bookmarkStart w:id="2" w:name="_Ref129681862"/>
      <w:r w:rsidRPr="00AF261F">
        <w:t>Introduction</w:t>
      </w:r>
      <w:bookmarkEnd w:id="1"/>
      <w:bookmarkEnd w:id="2"/>
    </w:p>
    <w:p w14:paraId="4C5A2620" w14:textId="77777777" w:rsidR="006053B1" w:rsidRDefault="00CA0DAD" w:rsidP="00BD733D">
      <w:r>
        <w:t>Both Type-I and Type-II feedback schemes have already been agreed to be supported in the RAN1#86bis</w:t>
      </w:r>
      <w:r w:rsidR="006053B1">
        <w:t xml:space="preserve"> </w:t>
      </w:r>
      <w:r w:rsidR="006053B1">
        <w:fldChar w:fldCharType="begin"/>
      </w:r>
      <w:r w:rsidR="006053B1">
        <w:instrText xml:space="preserve"> REF _Ref470186095 \r \h </w:instrText>
      </w:r>
      <w:r w:rsidR="006053B1">
        <w:fldChar w:fldCharType="separate"/>
      </w:r>
      <w:r w:rsidR="00D561F9">
        <w:rPr>
          <w:cs/>
        </w:rPr>
        <w:t>‎</w:t>
      </w:r>
      <w:r w:rsidR="00D561F9">
        <w:t>[1]</w:t>
      </w:r>
      <w:r w:rsidR="006053B1">
        <w:fldChar w:fldCharType="end"/>
      </w:r>
      <w:r>
        <w:t>.</w:t>
      </w:r>
    </w:p>
    <w:p w14:paraId="39757C88" w14:textId="77777777" w:rsidR="006053B1" w:rsidRPr="00FB7EA3" w:rsidRDefault="006053B1" w:rsidP="006053B1">
      <w:pPr>
        <w:rPr>
          <w:rFonts w:eastAsia="MS Mincho"/>
          <w:szCs w:val="20"/>
          <w:highlight w:val="green"/>
          <w:lang w:eastAsia="ja-JP"/>
        </w:rPr>
      </w:pPr>
      <w:r w:rsidRPr="00FB7EA3">
        <w:rPr>
          <w:rFonts w:eastAsia="MS Mincho"/>
          <w:szCs w:val="20"/>
          <w:highlight w:val="green"/>
          <w:lang w:eastAsia="ja-JP"/>
        </w:rPr>
        <w:t>Agreements:</w:t>
      </w:r>
    </w:p>
    <w:p w14:paraId="6B373E40" w14:textId="77777777" w:rsidR="006053B1" w:rsidRPr="00FB7EA3" w:rsidRDefault="006053B1" w:rsidP="006053B1">
      <w:pPr>
        <w:pStyle w:val="ListParagraph"/>
        <w:numPr>
          <w:ilvl w:val="0"/>
          <w:numId w:val="25"/>
        </w:numPr>
        <w:overflowPunct w:val="0"/>
        <w:spacing w:after="180"/>
        <w:ind w:firstLineChars="0"/>
        <w:contextualSpacing/>
        <w:textAlignment w:val="baseline"/>
        <w:rPr>
          <w:rFonts w:eastAsia="MS Mincho"/>
        </w:rPr>
      </w:pPr>
      <w:r w:rsidRPr="00FB7EA3">
        <w:rPr>
          <w:rFonts w:eastAsia="MS Mincho"/>
        </w:rPr>
        <w:t>NR supports CSI reporting with two types of spatial information feedback</w:t>
      </w:r>
    </w:p>
    <w:p w14:paraId="415C1D14" w14:textId="77777777" w:rsidR="006053B1" w:rsidRPr="00FB7EA3" w:rsidRDefault="006053B1" w:rsidP="006053B1">
      <w:pPr>
        <w:pStyle w:val="ListParagraph"/>
        <w:numPr>
          <w:ilvl w:val="1"/>
          <w:numId w:val="25"/>
        </w:numPr>
        <w:overflowPunct w:val="0"/>
        <w:spacing w:after="180"/>
        <w:ind w:firstLineChars="0"/>
        <w:contextualSpacing/>
        <w:textAlignment w:val="baseline"/>
        <w:rPr>
          <w:rFonts w:eastAsia="MS Mincho"/>
        </w:rPr>
      </w:pPr>
      <w:r w:rsidRPr="00FB7EA3">
        <w:rPr>
          <w:rFonts w:eastAsia="MS Mincho"/>
        </w:rPr>
        <w:t xml:space="preserve">Type I feedback: Normal </w:t>
      </w:r>
    </w:p>
    <w:p w14:paraId="05D45D9D" w14:textId="77777777" w:rsidR="006053B1" w:rsidRPr="00FB7EA3" w:rsidRDefault="006053B1" w:rsidP="0016611A">
      <w:pPr>
        <w:pStyle w:val="ListParagraph"/>
        <w:numPr>
          <w:ilvl w:val="2"/>
          <w:numId w:val="25"/>
        </w:numPr>
        <w:overflowPunct w:val="0"/>
        <w:spacing w:after="180"/>
        <w:ind w:firstLineChars="0"/>
        <w:contextualSpacing/>
        <w:textAlignment w:val="baseline"/>
        <w:rPr>
          <w:rFonts w:eastAsia="MS Mincho"/>
        </w:rPr>
      </w:pPr>
      <w:r w:rsidRPr="00FB7EA3">
        <w:rPr>
          <w:rFonts w:eastAsia="MS Mincho"/>
        </w:rPr>
        <w:t>Codebook-based PMI feedback with normal spatial resolution</w:t>
      </w:r>
    </w:p>
    <w:p w14:paraId="3F17FF3E" w14:textId="77777777" w:rsidR="006053B1" w:rsidRPr="00FB7EA3" w:rsidRDefault="006053B1" w:rsidP="006053B1">
      <w:pPr>
        <w:pStyle w:val="ListParagraph"/>
        <w:numPr>
          <w:ilvl w:val="1"/>
          <w:numId w:val="25"/>
        </w:numPr>
        <w:overflowPunct w:val="0"/>
        <w:spacing w:after="180"/>
        <w:ind w:firstLineChars="0"/>
        <w:contextualSpacing/>
        <w:textAlignment w:val="baseline"/>
        <w:rPr>
          <w:rFonts w:eastAsia="MS Mincho"/>
        </w:rPr>
      </w:pPr>
      <w:r w:rsidRPr="00FB7EA3">
        <w:rPr>
          <w:rFonts w:eastAsia="MS Mincho"/>
        </w:rPr>
        <w:t xml:space="preserve">Type II feedback: Enhanced </w:t>
      </w:r>
    </w:p>
    <w:p w14:paraId="16A7B1A3" w14:textId="77777777" w:rsidR="006053B1" w:rsidRPr="00FB7EA3" w:rsidRDefault="006053B1" w:rsidP="0016611A">
      <w:pPr>
        <w:pStyle w:val="ListParagraph"/>
        <w:numPr>
          <w:ilvl w:val="2"/>
          <w:numId w:val="25"/>
        </w:numPr>
        <w:overflowPunct w:val="0"/>
        <w:spacing w:after="180"/>
        <w:ind w:firstLineChars="0"/>
        <w:contextualSpacing/>
        <w:textAlignment w:val="baseline"/>
        <w:rPr>
          <w:rFonts w:eastAsia="MS Mincho"/>
        </w:rPr>
      </w:pPr>
      <w:r w:rsidRPr="00FB7EA3">
        <w:rPr>
          <w:rFonts w:eastAsia="MS Mincho"/>
        </w:rPr>
        <w:t xml:space="preserve">“Explicit” feedback and/or codebook-based feedback with higher spatial resolution </w:t>
      </w:r>
    </w:p>
    <w:p w14:paraId="3A5671F6" w14:textId="77777777" w:rsidR="006053B1" w:rsidRPr="00FB7EA3" w:rsidRDefault="006053B1" w:rsidP="006053B1">
      <w:pPr>
        <w:pStyle w:val="ListParagraph"/>
        <w:numPr>
          <w:ilvl w:val="0"/>
          <w:numId w:val="25"/>
        </w:numPr>
        <w:overflowPunct w:val="0"/>
        <w:spacing w:after="180"/>
        <w:ind w:firstLineChars="0"/>
        <w:contextualSpacing/>
        <w:textAlignment w:val="baseline"/>
        <w:rPr>
          <w:rFonts w:eastAsia="MS Mincho"/>
        </w:rPr>
      </w:pPr>
      <w:r w:rsidRPr="00FB7EA3">
        <w:rPr>
          <w:rFonts w:eastAsia="MS Mincho"/>
        </w:rPr>
        <w:t>For Type I and II, CSI feedback per subband as well as wideband feedback are supported</w:t>
      </w:r>
    </w:p>
    <w:p w14:paraId="215EC99A" w14:textId="77777777" w:rsidR="006053B1" w:rsidRPr="006053B1" w:rsidRDefault="006053B1" w:rsidP="006053B1">
      <w:pPr>
        <w:pStyle w:val="ListParagraph"/>
        <w:numPr>
          <w:ilvl w:val="0"/>
          <w:numId w:val="25"/>
        </w:numPr>
        <w:overflowPunct w:val="0"/>
        <w:spacing w:after="180"/>
        <w:ind w:firstLineChars="0"/>
        <w:contextualSpacing/>
        <w:textAlignment w:val="baseline"/>
        <w:rPr>
          <w:rFonts w:eastAsia="MS Mincho"/>
        </w:rPr>
      </w:pPr>
      <w:r w:rsidRPr="00FB7EA3">
        <w:rPr>
          <w:rFonts w:eastAsia="MS Mincho"/>
        </w:rPr>
        <w:t>For Type I and II, beam-related feedback can be included</w:t>
      </w:r>
    </w:p>
    <w:p w14:paraId="4C68ED9D" w14:textId="1E7060A2" w:rsidR="00B51993" w:rsidRDefault="00B51993" w:rsidP="00155047">
      <w:r>
        <w:t>In RAN1 NR AH 01, further progress was made in terms of agreeing the main candidate solutions for</w:t>
      </w:r>
      <w:r w:rsidR="00155047">
        <w:t xml:space="preserve"> the type-I and type-</w:t>
      </w:r>
      <w:r>
        <w:t>II feedback schemes</w:t>
      </w:r>
      <w:r w:rsidR="00155047">
        <w:t xml:space="preserve"> [2]</w:t>
      </w:r>
      <w:r>
        <w:t>. For example, following agreements were made</w:t>
      </w:r>
      <w:r w:rsidR="00155047">
        <w:t xml:space="preserve"> </w:t>
      </w:r>
      <w:r w:rsidR="00462D67">
        <w:fldChar w:fldCharType="begin"/>
      </w:r>
      <w:r w:rsidR="00462D67">
        <w:instrText xml:space="preserve"> REF _Ref473200486 \r \h </w:instrText>
      </w:r>
      <w:r w:rsidR="00462D67">
        <w:fldChar w:fldCharType="separate"/>
      </w:r>
      <w:r w:rsidR="00462D67">
        <w:rPr>
          <w:cs/>
        </w:rPr>
        <w:t>‎</w:t>
      </w:r>
      <w:r w:rsidR="00462D67">
        <w:t>[2]</w:t>
      </w:r>
      <w:r w:rsidR="00462D67">
        <w:fldChar w:fldCharType="end"/>
      </w:r>
      <w:r w:rsidR="00155047">
        <w:fldChar w:fldCharType="begin"/>
      </w:r>
      <w:r w:rsidR="00155047">
        <w:instrText xml:space="preserve"> REF _Ref473200472 \r \h </w:instrText>
      </w:r>
      <w:r w:rsidR="00155047">
        <w:fldChar w:fldCharType="separate"/>
      </w:r>
      <w:r w:rsidR="00D561F9">
        <w:rPr>
          <w:cs/>
        </w:rPr>
        <w:t>‎</w:t>
      </w:r>
      <w:r w:rsidR="00D561F9">
        <w:t>[3]</w:t>
      </w:r>
      <w:r w:rsidR="00155047">
        <w:fldChar w:fldCharType="end"/>
      </w:r>
      <w:r w:rsidR="00155047">
        <w:fldChar w:fldCharType="begin"/>
      </w:r>
      <w:r w:rsidR="00155047">
        <w:instrText xml:space="preserve"> REF _Ref473200478 \r \h </w:instrText>
      </w:r>
      <w:r w:rsidR="00155047">
        <w:fldChar w:fldCharType="separate"/>
      </w:r>
      <w:r w:rsidR="00D561F9">
        <w:rPr>
          <w:cs/>
        </w:rPr>
        <w:t>‎</w:t>
      </w:r>
      <w:r w:rsidR="00D561F9">
        <w:t>[4]</w:t>
      </w:r>
      <w:r w:rsidR="00155047">
        <w:fldChar w:fldCharType="end"/>
      </w:r>
      <w:r w:rsidR="00155047">
        <w:t xml:space="preserve"> </w:t>
      </w:r>
      <w:r w:rsidR="00462D67">
        <w:t>:</w:t>
      </w:r>
    </w:p>
    <w:p w14:paraId="7070839D" w14:textId="77777777" w:rsidR="00B51993" w:rsidRPr="009D6B5B" w:rsidRDefault="00B51993" w:rsidP="00B51993">
      <w:r w:rsidRPr="00B1479A">
        <w:rPr>
          <w:rFonts w:eastAsia="MS Mincho" w:hint="eastAsia"/>
          <w:b/>
          <w:highlight w:val="green"/>
          <w:u w:val="single"/>
          <w:lang w:eastAsia="ja-JP"/>
        </w:rPr>
        <w:t>Agreements:</w:t>
      </w:r>
    </w:p>
    <w:p w14:paraId="2776073C" w14:textId="77777777" w:rsidR="00B51993" w:rsidRDefault="00B51993" w:rsidP="00B51993">
      <w:pPr>
        <w:numPr>
          <w:ilvl w:val="0"/>
          <w:numId w:val="30"/>
        </w:numPr>
        <w:autoSpaceDE/>
        <w:autoSpaceDN/>
        <w:adjustRightInd/>
        <w:spacing w:after="0"/>
        <w:jc w:val="left"/>
      </w:pPr>
      <w:r w:rsidRPr="00D21902">
        <w:t>For Type I for single panel case with two-stage, i.e. W1W</w:t>
      </w:r>
      <w:r>
        <w:t>2, codebook-based PMI feedback</w:t>
      </w:r>
    </w:p>
    <w:p w14:paraId="76006388" w14:textId="77777777" w:rsidR="00B51993" w:rsidRPr="00D21902" w:rsidRDefault="00B51993" w:rsidP="00B51993">
      <w:pPr>
        <w:autoSpaceDE/>
        <w:autoSpaceDN/>
        <w:adjustRightInd/>
        <w:spacing w:after="0"/>
        <w:ind w:left="720"/>
        <w:jc w:val="left"/>
      </w:pPr>
    </w:p>
    <w:p w14:paraId="07F75757" w14:textId="77777777" w:rsidR="00B51993" w:rsidRPr="0055340D" w:rsidRDefault="00B51993" w:rsidP="00B51993">
      <w:pPr>
        <w:rPr>
          <w:rFonts w:eastAsia="MS Mincho"/>
          <w:b/>
          <w:u w:val="single"/>
          <w:lang w:eastAsia="ja-JP"/>
        </w:rPr>
      </w:pPr>
      <w:r w:rsidRPr="0055340D">
        <w:rPr>
          <w:rFonts w:eastAsia="MS Mincho" w:hint="eastAsia"/>
          <w:b/>
          <w:highlight w:val="green"/>
          <w:u w:val="single"/>
          <w:lang w:eastAsia="ja-JP"/>
        </w:rPr>
        <w:t>Agreements:</w:t>
      </w:r>
    </w:p>
    <w:p w14:paraId="36DE4CB1" w14:textId="77777777" w:rsidR="00B51993" w:rsidRPr="00322197" w:rsidRDefault="00B51993" w:rsidP="00B51993">
      <w:pPr>
        <w:numPr>
          <w:ilvl w:val="0"/>
          <w:numId w:val="31"/>
        </w:numPr>
        <w:autoSpaceDE/>
        <w:autoSpaceDN/>
        <w:adjustRightInd/>
        <w:spacing w:after="0"/>
        <w:jc w:val="left"/>
      </w:pPr>
      <w:r w:rsidRPr="00322197">
        <w:t>Support at least one scheme taken from Category 1, 2, and/or 3 for Type II CSI</w:t>
      </w:r>
    </w:p>
    <w:p w14:paraId="093102F6" w14:textId="77777777" w:rsidR="00B51993" w:rsidRDefault="00B51993" w:rsidP="00B51993">
      <w:pPr>
        <w:numPr>
          <w:ilvl w:val="1"/>
          <w:numId w:val="31"/>
        </w:numPr>
        <w:autoSpaceDE/>
        <w:autoSpaceDN/>
        <w:adjustRightInd/>
        <w:spacing w:after="0"/>
        <w:jc w:val="left"/>
      </w:pPr>
      <w:r w:rsidRPr="00322197">
        <w:t>Possible down selection can be performed throughout Phase I WI</w:t>
      </w:r>
    </w:p>
    <w:p w14:paraId="384B56FB" w14:textId="77777777" w:rsidR="00B51993" w:rsidRDefault="00B51993" w:rsidP="00B51993">
      <w:pPr>
        <w:numPr>
          <w:ilvl w:val="2"/>
          <w:numId w:val="31"/>
        </w:numPr>
        <w:autoSpaceDE/>
        <w:autoSpaceDN/>
        <w:adjustRightInd/>
        <w:spacing w:after="0"/>
        <w:jc w:val="left"/>
      </w:pPr>
      <w:r>
        <w:t>If more than one schemes is supported, these schemes should be complementary</w:t>
      </w:r>
    </w:p>
    <w:p w14:paraId="3D54BD31" w14:textId="77777777" w:rsidR="00B51993" w:rsidRDefault="00B51993" w:rsidP="00B51993">
      <w:pPr>
        <w:numPr>
          <w:ilvl w:val="2"/>
          <w:numId w:val="31"/>
        </w:numPr>
        <w:autoSpaceDE/>
        <w:autoSpaceDN/>
        <w:adjustRightInd/>
        <w:spacing w:after="0"/>
        <w:jc w:val="left"/>
      </w:pPr>
      <w:r>
        <w:t>This includes further refinement within each category</w:t>
      </w:r>
    </w:p>
    <w:p w14:paraId="76EACAC1" w14:textId="77777777" w:rsidR="00B51993" w:rsidRPr="00322197" w:rsidRDefault="00B51993" w:rsidP="00B51993">
      <w:pPr>
        <w:numPr>
          <w:ilvl w:val="2"/>
          <w:numId w:val="31"/>
        </w:numPr>
        <w:autoSpaceDE/>
        <w:autoSpaceDN/>
        <w:adjustRightInd/>
        <w:spacing w:after="0"/>
        <w:jc w:val="left"/>
      </w:pPr>
      <w:r>
        <w:t>Note: other schemes within each category are not precluded</w:t>
      </w:r>
    </w:p>
    <w:p w14:paraId="287132AB" w14:textId="77777777" w:rsidR="00B51993" w:rsidRPr="00322197" w:rsidRDefault="00B51993" w:rsidP="00B51993">
      <w:pPr>
        <w:numPr>
          <w:ilvl w:val="1"/>
          <w:numId w:val="31"/>
        </w:numPr>
        <w:autoSpaceDE/>
        <w:autoSpaceDN/>
        <w:adjustRightInd/>
        <w:spacing w:after="0"/>
        <w:jc w:val="left"/>
      </w:pPr>
      <w:r w:rsidRPr="00322197">
        <w:t>Descriptions for Category 1 and 2 are given in the following slides</w:t>
      </w:r>
    </w:p>
    <w:p w14:paraId="19B19AF9" w14:textId="77777777" w:rsidR="00B51993" w:rsidRDefault="00B51993" w:rsidP="00B51993">
      <w:pPr>
        <w:numPr>
          <w:ilvl w:val="2"/>
          <w:numId w:val="31"/>
        </w:numPr>
        <w:autoSpaceDE/>
        <w:autoSpaceDN/>
        <w:adjustRightInd/>
        <w:spacing w:after="0"/>
        <w:jc w:val="left"/>
      </w:pPr>
      <w:r w:rsidRPr="00322197">
        <w:t>For the purpose of summary in TR38.802</w:t>
      </w:r>
    </w:p>
    <w:p w14:paraId="4D92F58F" w14:textId="77777777" w:rsidR="00B51993" w:rsidRDefault="00B51993" w:rsidP="00B51993">
      <w:pPr>
        <w:pStyle w:val="ListParagraph"/>
        <w:numPr>
          <w:ilvl w:val="0"/>
          <w:numId w:val="31"/>
        </w:numPr>
        <w:autoSpaceDE/>
        <w:autoSpaceDN/>
        <w:adjustRightInd/>
        <w:spacing w:after="0"/>
        <w:ind w:firstLineChars="0"/>
        <w:jc w:val="left"/>
      </w:pPr>
      <w:r w:rsidRPr="00322197">
        <w:t>Category 1: precoder feedback based on linear combination codebook</w:t>
      </w:r>
    </w:p>
    <w:p w14:paraId="19E34425" w14:textId="77777777" w:rsidR="00B51993" w:rsidRDefault="00B51993" w:rsidP="00B51993">
      <w:pPr>
        <w:pStyle w:val="ListParagraph"/>
        <w:numPr>
          <w:ilvl w:val="0"/>
          <w:numId w:val="34"/>
        </w:numPr>
        <w:autoSpaceDE/>
        <w:autoSpaceDN/>
        <w:adjustRightInd/>
        <w:spacing w:after="0"/>
        <w:ind w:firstLineChars="0"/>
        <w:jc w:val="left"/>
      </w:pPr>
      <w:r w:rsidRPr="00322197">
        <w:t>Category 2: covariance matrix feedback</w:t>
      </w:r>
    </w:p>
    <w:p w14:paraId="3EBA0713" w14:textId="77777777" w:rsidR="00B51993" w:rsidRPr="00551A59" w:rsidRDefault="00B51993" w:rsidP="00B51993">
      <w:pPr>
        <w:numPr>
          <w:ilvl w:val="0"/>
          <w:numId w:val="33"/>
        </w:numPr>
        <w:autoSpaceDE/>
        <w:autoSpaceDN/>
        <w:adjustRightInd/>
        <w:spacing w:after="0"/>
        <w:jc w:val="left"/>
      </w:pPr>
      <w:r w:rsidRPr="00551A59">
        <w:t>Cat</w:t>
      </w:r>
      <w:r>
        <w:t xml:space="preserve">egory 3: Hybrid CSI feedback </w:t>
      </w:r>
    </w:p>
    <w:p w14:paraId="01AE3042" w14:textId="77777777" w:rsidR="006053B1" w:rsidRDefault="006053B1" w:rsidP="00BD733D"/>
    <w:p w14:paraId="127E0AFA" w14:textId="72FEABD4" w:rsidR="00063295" w:rsidRDefault="00CA0DAD" w:rsidP="0058059F">
      <w:r>
        <w:t xml:space="preserve">The Type-I feedback is codebook based PMI </w:t>
      </w:r>
      <w:r w:rsidR="00462D67">
        <w:t xml:space="preserve">feedback </w:t>
      </w:r>
      <w:r w:rsidR="00BD733D">
        <w:t xml:space="preserve">assuming </w:t>
      </w:r>
      <w:r w:rsidR="00C634B6">
        <w:rPr>
          <w:rFonts w:hint="eastAsia"/>
          <w:lang w:eastAsia="zh-CN"/>
        </w:rPr>
        <w:t xml:space="preserve">a </w:t>
      </w:r>
      <w:r>
        <w:t xml:space="preserve">similar </w:t>
      </w:r>
      <w:r w:rsidR="00BD733D">
        <w:t xml:space="preserve">resolution as </w:t>
      </w:r>
      <w:r>
        <w:t>the LTE system</w:t>
      </w:r>
      <w:r w:rsidR="00C634B6">
        <w:t xml:space="preserve">, while the </w:t>
      </w:r>
      <w:r>
        <w:t xml:space="preserve">Type-II feedback </w:t>
      </w:r>
      <w:r w:rsidR="00C634B6">
        <w:t xml:space="preserve">is </w:t>
      </w:r>
      <w:r w:rsidR="00BD733D">
        <w:t>the enhanced scheme</w:t>
      </w:r>
      <w:r>
        <w:t>.</w:t>
      </w:r>
      <w:r w:rsidR="00BD733D">
        <w:t xml:space="preserve"> </w:t>
      </w:r>
      <w:r w:rsidR="00155047">
        <w:t xml:space="preserve">It seems to be common understanding that Type-I feedback is targeting the SU-MIMO use case and the Type-II feedback would be targeting the MU-MIMO use case where </w:t>
      </w:r>
      <w:r w:rsidR="0058059F">
        <w:t>challenges</w:t>
      </w:r>
      <w:r w:rsidR="00155047">
        <w:t xml:space="preserve"> handling the MU interference needs to be tackled.</w:t>
      </w:r>
      <w:r w:rsidR="0058059F">
        <w:t xml:space="preserve"> </w:t>
      </w:r>
      <w:r w:rsidR="00933172">
        <w:t xml:space="preserve">In this contribution, </w:t>
      </w:r>
      <w:r w:rsidR="0058059F">
        <w:t xml:space="preserve">commonalities between </w:t>
      </w:r>
      <w:r w:rsidR="00C17766">
        <w:t xml:space="preserve">Type-I PMI feedback and </w:t>
      </w:r>
      <w:r w:rsidR="0058059F">
        <w:t>Type-II feedback categories are discussed</w:t>
      </w:r>
      <w:r w:rsidR="00287769">
        <w:t xml:space="preserve"> in light of the most recent agreements</w:t>
      </w:r>
      <w:r w:rsidR="00933172">
        <w:t>.</w:t>
      </w:r>
      <w:r w:rsidR="002D0470">
        <w:t xml:space="preserve"> </w:t>
      </w:r>
      <w:r w:rsidR="00150181">
        <w:t>In addition</w:t>
      </w:r>
      <w:r w:rsidR="002D0470">
        <w:t>, analysis and simulations on Type-II category 1-1 and category 2 are provided.</w:t>
      </w:r>
    </w:p>
    <w:p w14:paraId="0877D8BD" w14:textId="77777777" w:rsidR="00933172" w:rsidRDefault="00933172" w:rsidP="00063295"/>
    <w:p w14:paraId="78C292D0" w14:textId="77777777" w:rsidR="00063295" w:rsidRDefault="00CE5ED3" w:rsidP="00CE5ED3">
      <w:pPr>
        <w:pStyle w:val="Heading1"/>
      </w:pPr>
      <w:r>
        <w:t>F</w:t>
      </w:r>
      <w:r w:rsidR="0078601D">
        <w:t xml:space="preserve">eedback </w:t>
      </w:r>
      <w:r>
        <w:t>types and Codebooks</w:t>
      </w:r>
      <w:r w:rsidR="0078601D">
        <w:t xml:space="preserve"> </w:t>
      </w:r>
    </w:p>
    <w:p w14:paraId="5B8732B1" w14:textId="77777777" w:rsidR="0078601D" w:rsidRDefault="0078601D" w:rsidP="0078601D"/>
    <w:p w14:paraId="6CB09753" w14:textId="2F12E6B1" w:rsidR="00812519" w:rsidRDefault="0078601D" w:rsidP="00BB4632">
      <w:r>
        <w:t xml:space="preserve">According to the agreements in </w:t>
      </w:r>
      <w:r>
        <w:fldChar w:fldCharType="begin"/>
      </w:r>
      <w:r>
        <w:instrText xml:space="preserve"> REF _Ref473200472 \r \h </w:instrText>
      </w:r>
      <w:r>
        <w:fldChar w:fldCharType="separate"/>
      </w:r>
      <w:r w:rsidR="00D561F9">
        <w:rPr>
          <w:cs/>
        </w:rPr>
        <w:t>‎</w:t>
      </w:r>
      <w:r w:rsidR="00D561F9">
        <w:t>[</w:t>
      </w:r>
      <w:r w:rsidR="008A525E">
        <w:t>2</w:t>
      </w:r>
      <w:r w:rsidR="00D561F9">
        <w:t>]</w:t>
      </w:r>
      <w:r>
        <w:fldChar w:fldCharType="end"/>
      </w:r>
      <w:r>
        <w:t xml:space="preserve">, at least for the single panel case, the Type-I codebook is a two stage codebook where </w:t>
      </w:r>
      <m:oMath>
        <m:r>
          <m:rPr>
            <m:sty m:val="b"/>
          </m:rPr>
          <w:rPr>
            <w:rFonts w:ascii="Cambria Math" w:hAnsi="Cambria Math"/>
          </w:rPr>
          <m:t>W</m:t>
        </m:r>
        <m:r>
          <w:rPr>
            <w:rFonts w:ascii="Cambria Math" w:hAnsi="Cambria Math"/>
          </w:rPr>
          <m:t>=</m:t>
        </m:r>
        <m:sSub>
          <m:sSubPr>
            <m:ctrlPr>
              <w:rPr>
                <w:rFonts w:ascii="Cambria Math" w:hAnsi="Cambria Math"/>
                <w:i/>
              </w:rPr>
            </m:ctrlPr>
          </m:sSubPr>
          <m:e>
            <m:r>
              <m:rPr>
                <m:sty m:val="b"/>
              </m:rPr>
              <w:rPr>
                <w:rFonts w:ascii="Cambria Math" w:hAnsi="Cambria Math"/>
              </w:rPr>
              <m:t>W</m:t>
            </m:r>
          </m:e>
          <m:sub>
            <m:r>
              <w:rPr>
                <w:rFonts w:ascii="Cambria Math" w:hAnsi="Cambria Math"/>
              </w:rPr>
              <m:t>1</m:t>
            </m:r>
          </m:sub>
        </m:sSub>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t xml:space="preserve">. Further,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is assumed to be based on 2D DFT matrices</w:t>
      </w:r>
      <m:oMath>
        <m:r>
          <m:rPr>
            <m:sty m:val="b"/>
          </m:rPr>
          <w:rPr>
            <w:rFonts w:ascii="Cambria Math" w:hAnsi="Cambria Math"/>
          </w:rPr>
          <m:t xml:space="preserve"> B</m:t>
        </m:r>
      </m:oMath>
      <w:r>
        <w:t xml:space="preserve"> and several alternatives on the structure are presented in [3]. At the same time, several alternatives were agreed for 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t xml:space="preserve"> containing at least co-phasing, basis combination </w:t>
      </w:r>
      <w:r w:rsidR="00812519">
        <w:t xml:space="preserve">over </w:t>
      </w:r>
      <w:r w:rsidR="00812519" w:rsidRPr="00812519">
        <w:rPr>
          <w:i/>
          <w:iCs/>
        </w:rPr>
        <w:t>L</w:t>
      </w:r>
      <w:r w:rsidR="00812519">
        <w:t xml:space="preserve"> beams </w:t>
      </w:r>
      <w:r>
        <w:t>etc.</w:t>
      </w:r>
      <w:r w:rsidR="0039076D">
        <w:t xml:space="preserve"> Separate agreed way forward document </w:t>
      </w:r>
      <w:r w:rsidR="0039076D">
        <w:fldChar w:fldCharType="begin"/>
      </w:r>
      <w:r w:rsidR="0039076D">
        <w:instrText xml:space="preserve"> REF _Ref473205829 \r \h </w:instrText>
      </w:r>
      <w:r w:rsidR="0039076D">
        <w:fldChar w:fldCharType="separate"/>
      </w:r>
      <w:r w:rsidR="00D561F9">
        <w:rPr>
          <w:cs/>
        </w:rPr>
        <w:t>‎</w:t>
      </w:r>
      <w:r w:rsidR="00D561F9">
        <w:t>[5]</w:t>
      </w:r>
      <w:r w:rsidR="0039076D">
        <w:fldChar w:fldCharType="end"/>
      </w:r>
      <w:r w:rsidR="0039076D">
        <w:t xml:space="preserve"> proposes utilization of </w:t>
      </w:r>
      <w:r w:rsidR="00E93D64">
        <w:t xml:space="preserve">a </w:t>
      </w:r>
      <w:r w:rsidR="0039076D">
        <w:t>third matrix to cover multi panel cases. This essentially mitigates the non-uniform arrays.</w:t>
      </w:r>
    </w:p>
    <w:p w14:paraId="4DAA41FD" w14:textId="77777777" w:rsidR="004F44E5" w:rsidRDefault="00812519" w:rsidP="004F44E5">
      <w:r>
        <w:t xml:space="preserve">The Type-II </w:t>
      </w:r>
      <w:r w:rsidR="00EC4463">
        <w:t>category</w:t>
      </w:r>
      <w:r>
        <w:t xml:space="preserve"> 1 feedback is also codebook based. In fact, very similar </w:t>
      </w:r>
      <w:r w:rsidR="004F44E5">
        <w:t xml:space="preserve">dual stage </w:t>
      </w:r>
      <w:r>
        <w:t xml:space="preserve">codebook structures are listed as alternatives as for the Type-I feedback. </w:t>
      </w:r>
      <w:r w:rsidR="004F44E5">
        <w:t xml:space="preserve">The possibly wideband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4F44E5">
        <w:t>is also typically assumed to be based on 2D DFT matrices</w:t>
      </w:r>
      <m:oMath>
        <m:r>
          <m:rPr>
            <m:sty m:val="b"/>
          </m:rPr>
          <w:rPr>
            <w:rFonts w:ascii="Cambria Math" w:hAnsi="Cambria Math"/>
          </w:rPr>
          <m:t xml:space="preserve"> B</m:t>
        </m:r>
      </m:oMath>
      <w:r w:rsidR="004F44E5">
        <w:rPr>
          <w:bCs/>
        </w:rPr>
        <w:t xml:space="preserve"> but different DFT sizes and antenna allocations are listed as alternatives. Again, 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4F44E5">
        <w:rPr>
          <w:bCs/>
        </w:rPr>
        <w:t xml:space="preserve"> would most likely be a basis combination matrix.</w:t>
      </w:r>
    </w:p>
    <w:p w14:paraId="17B2640C" w14:textId="46608328" w:rsidR="00812519" w:rsidRDefault="004F44E5">
      <w:pPr>
        <w:rPr>
          <w:bCs/>
        </w:rPr>
      </w:pPr>
      <w:r>
        <w:t xml:space="preserve">The Type-II </w:t>
      </w:r>
      <w:r w:rsidR="00EC4463">
        <w:t>category</w:t>
      </w:r>
      <w:r>
        <w:t xml:space="preserve"> 2 feedback is defined as covariance matrix feedback.</w:t>
      </w:r>
      <w:r w:rsidR="00891A0A">
        <w:t xml:space="preserve"> One proposal is to use DFT basis vectors in matrix </w:t>
      </w:r>
      <m:oMath>
        <m:sSub>
          <m:sSubPr>
            <m:ctrlPr>
              <w:rPr>
                <w:rFonts w:ascii="Cambria Math" w:hAnsi="Cambria Math"/>
                <w:i/>
              </w:rPr>
            </m:ctrlPr>
          </m:sSubPr>
          <m:e>
            <m:r>
              <m:rPr>
                <m:sty m:val="b"/>
              </m:rPr>
              <w:rPr>
                <w:rFonts w:ascii="Cambria Math" w:hAnsi="Cambria Math"/>
              </w:rPr>
              <m:t>U</m:t>
            </m:r>
          </m:e>
          <m:sub>
            <m:r>
              <m:rPr>
                <m:nor/>
              </m:rPr>
              <w:rPr>
                <w:rFonts w:ascii="Cambria Math" w:hAnsi="Cambria Math"/>
                <w:bCs/>
              </w:rPr>
              <m:t>DFT</m:t>
            </m:r>
          </m:sub>
        </m:sSub>
        <m:r>
          <m:rPr>
            <m:sty m:val="b"/>
          </m:rPr>
          <w:rPr>
            <w:rFonts w:ascii="Cambria Math" w:hAnsi="Cambria Math"/>
          </w:rPr>
          <m:t xml:space="preserve"> </m:t>
        </m:r>
      </m:oMath>
      <w:r w:rsidR="00891A0A">
        <w:t xml:space="preserve">based on similar matrices as in the codebook case </w:t>
      </w:r>
      <w:r w:rsidR="00507909">
        <w:t xml:space="preserve">in order </w:t>
      </w:r>
      <w:r w:rsidR="00891A0A">
        <w:t xml:space="preserve">to reduce the size of the covariance matrix </w:t>
      </w:r>
      <m:oMath>
        <m:r>
          <m:rPr>
            <m:sty m:val="b"/>
          </m:rPr>
          <w:rPr>
            <w:rFonts w:ascii="Cambria Math" w:hAnsi="Cambria Math"/>
          </w:rPr>
          <m:t>C</m:t>
        </m:r>
      </m:oMath>
      <w:r w:rsidR="00891A0A">
        <w:t xml:space="preserve">. In other words, </w:t>
      </w:r>
      <m:oMath>
        <m:r>
          <m:rPr>
            <m:sty m:val="b"/>
          </m:rPr>
          <w:rPr>
            <w:rFonts w:ascii="Cambria Math" w:hAnsi="Cambria Math"/>
          </w:rPr>
          <m:t>A</m:t>
        </m:r>
        <m:r>
          <w:rPr>
            <w:rFonts w:ascii="Cambria Math" w:hAnsi="Cambria Math"/>
          </w:rPr>
          <m:t>=</m:t>
        </m:r>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DFT</m:t>
            </m:r>
          </m:sub>
          <m:sup>
            <m:r>
              <m:rPr>
                <m:sty m:val="p"/>
              </m:rPr>
              <w:rPr>
                <w:rFonts w:ascii="Cambria Math" w:hAnsi="Cambria Math"/>
              </w:rPr>
              <m:t>H</m:t>
            </m:r>
          </m:sup>
        </m:sSubSup>
        <m:r>
          <m:rPr>
            <m:sty m:val="b"/>
          </m:rPr>
          <w:rPr>
            <w:rFonts w:ascii="Cambria Math" w:hAnsi="Cambria Math"/>
          </w:rPr>
          <m:t>C</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DFT</m:t>
            </m:r>
          </m:sub>
        </m:sSub>
      </m:oMath>
      <w:r w:rsidR="000D09E5">
        <w:rPr>
          <w:bCs/>
        </w:rPr>
        <w:t xml:space="preserve"> would be quantized and fed back. In another alternative, dominant eigenvectors are quantized using Category 1 codebook. Considering a simplistic case where </w:t>
      </w:r>
      <m:oMath>
        <m:r>
          <m:rPr>
            <m:sty m:val="b"/>
          </m:rPr>
          <w:rPr>
            <w:rFonts w:ascii="Cambria Math" w:hAnsi="Cambria Math"/>
          </w:rPr>
          <m:t>C=</m:t>
        </m:r>
        <m:r>
          <m:rPr>
            <m:sty m:val="p"/>
          </m:rPr>
          <w:rPr>
            <w:rFonts w:ascii="Cambria Math" w:hAnsi="Cambria Math"/>
          </w:rPr>
          <m:t>E</m:t>
        </m:r>
        <m:d>
          <m:dPr>
            <m:begChr m:val="["/>
            <m:endChr m:val="]"/>
            <m:ctrlPr>
              <w:rPr>
                <w:rFonts w:ascii="Cambria Math" w:hAnsi="Cambria Math"/>
                <w:b/>
              </w:rPr>
            </m:ctrlPr>
          </m:dPr>
          <m:e>
            <m:sSup>
              <m:sSupPr>
                <m:ctrlPr>
                  <w:rPr>
                    <w:rFonts w:ascii="Cambria Math" w:hAnsi="Cambria Math"/>
                    <w:i/>
                  </w:rPr>
                </m:ctrlPr>
              </m:sSupPr>
              <m:e>
                <m:r>
                  <m:rPr>
                    <m:sty m:val="b"/>
                  </m:rPr>
                  <w:rPr>
                    <w:rFonts w:ascii="Cambria Math" w:hAnsi="Cambria Math"/>
                  </w:rPr>
                  <m:t>H</m:t>
                </m:r>
              </m:e>
              <m:sup>
                <m:r>
                  <m:rPr>
                    <m:sty m:val="p"/>
                  </m:rPr>
                  <w:rPr>
                    <w:rFonts w:ascii="Cambria Math" w:hAnsi="Cambria Math"/>
                  </w:rPr>
                  <m:t>H</m:t>
                </m:r>
              </m:sup>
            </m:sSup>
            <m:r>
              <m:rPr>
                <m:sty m:val="b"/>
              </m:rPr>
              <w:rPr>
                <w:rFonts w:ascii="Cambria Math" w:hAnsi="Cambria Math"/>
              </w:rPr>
              <m:t>H</m:t>
            </m:r>
          </m:e>
        </m:d>
        <m:r>
          <m:rPr>
            <m:sty m:val="bi"/>
          </m:rPr>
          <w:rPr>
            <w:rFonts w:ascii="Cambria Math" w:hAnsi="Cambria Math"/>
          </w:rPr>
          <m:t xml:space="preserve"> ~</m:t>
        </m:r>
        <m:sSup>
          <m:sSupPr>
            <m:ctrlPr>
              <w:rPr>
                <w:rFonts w:ascii="Cambria Math" w:hAnsi="Cambria Math"/>
                <w:i/>
              </w:rPr>
            </m:ctrlPr>
          </m:sSupPr>
          <m:e>
            <m:r>
              <m:rPr>
                <m:sty m:val="b"/>
              </m:rPr>
              <w:rPr>
                <w:rFonts w:ascii="Cambria Math" w:hAnsi="Cambria Math"/>
              </w:rPr>
              <m:t>H</m:t>
            </m:r>
          </m:e>
          <m:sup>
            <m:r>
              <m:rPr>
                <m:sty m:val="p"/>
              </m:rPr>
              <w:rPr>
                <w:rFonts w:ascii="Cambria Math" w:hAnsi="Cambria Math"/>
              </w:rPr>
              <m:t>H</m:t>
            </m:r>
          </m:sup>
        </m:sSup>
        <m:r>
          <m:rPr>
            <m:sty m:val="b"/>
          </m:rPr>
          <w:rPr>
            <w:rFonts w:ascii="Cambria Math" w:hAnsi="Cambria Math"/>
          </w:rPr>
          <m:t>H=</m:t>
        </m:r>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m:rPr>
            <m:sty m:val="b"/>
          </m:rPr>
          <w:rPr>
            <w:rFonts w:ascii="Cambria Math" w:hAnsi="Cambria Math"/>
          </w:rPr>
          <m:t>D</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oMath>
      <w:r w:rsidR="000D09E5">
        <w:rPr>
          <w:b/>
        </w:rPr>
        <w:t xml:space="preserve"> </w:t>
      </w:r>
      <w:r w:rsidR="00BB5DB6" w:rsidRPr="00BB5DB6">
        <w:rPr>
          <w:bCs/>
        </w:rPr>
        <w:t>it can be observed that</w:t>
      </w:r>
      <w:r w:rsidR="000D09E5">
        <w:rPr>
          <w:bCs/>
        </w:rPr>
        <w:t xml:space="preserve"> </w:t>
      </w:r>
      <w:r w:rsidR="00BB5DB6">
        <w:rPr>
          <w:bCs/>
        </w:rPr>
        <w:t xml:space="preserve">at least with linear receiver the </w:t>
      </w:r>
      <w:r w:rsidR="00E93D64">
        <w:rPr>
          <w:bCs/>
        </w:rPr>
        <w:t xml:space="preserve">Hermitian </w:t>
      </w:r>
      <w:r w:rsidR="00BB5DB6">
        <w:rPr>
          <w:bCs/>
        </w:rPr>
        <w:t xml:space="preserve">conjugates of eigenvectors in </w:t>
      </w:r>
      <m:oMath>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oMath>
      <w:r w:rsidR="000D09E5">
        <w:rPr>
          <w:bCs/>
        </w:rPr>
        <w:t xml:space="preserve"> </w:t>
      </w:r>
      <w:r w:rsidR="00BB5DB6">
        <w:rPr>
          <w:bCs/>
        </w:rPr>
        <w:t xml:space="preserve">are the optimal precoders since </w:t>
      </w:r>
      <m:oMath>
        <m:sSubSup>
          <m:sSubSupPr>
            <m:ctrlPr>
              <w:rPr>
                <w:rFonts w:ascii="Cambria Math" w:hAnsi="Cambria Math"/>
                <w:b/>
              </w:rPr>
            </m:ctrlPr>
          </m:sSubSupPr>
          <m:e>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m:rPr>
            <m:sty m:val="b"/>
          </m:rPr>
          <w:rPr>
            <w:rFonts w:ascii="Cambria Math" w:hAnsi="Cambria Math"/>
          </w:rPr>
          <m:t>D</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w:rPr>
            <w:rFonts w:ascii="Cambria Math" w:hAnsi="Cambria Math"/>
          </w:rPr>
          <m:t>=</m:t>
        </m:r>
        <m:r>
          <m:rPr>
            <m:sty m:val="b"/>
          </m:rPr>
          <w:rPr>
            <w:rFonts w:ascii="Cambria Math" w:hAnsi="Cambria Math"/>
          </w:rPr>
          <m:t>D</m:t>
        </m:r>
      </m:oMath>
      <w:r w:rsidR="00BB5DB6" w:rsidRPr="00BB5DB6">
        <w:rPr>
          <w:bCs/>
        </w:rPr>
        <w:t xml:space="preserve"> which are the eigenvalues of the channel</w:t>
      </w:r>
      <w:r w:rsidR="00D01603">
        <w:rPr>
          <w:bCs/>
        </w:rPr>
        <w:t xml:space="preserve"> covariance matrix</w:t>
      </w:r>
      <w:r w:rsidR="00BB5DB6" w:rsidRPr="00BB5DB6">
        <w:rPr>
          <w:bCs/>
        </w:rPr>
        <w:t>.</w:t>
      </w:r>
      <w:r w:rsidR="00BB5DB6">
        <w:rPr>
          <w:bCs/>
        </w:rPr>
        <w:t xml:space="preserve"> Therefore, the best precoders as in the PMI feedback are the conjugates of the fed back dominant eigenvectors.</w:t>
      </w:r>
      <w:r w:rsidR="00C90C3A">
        <w:rPr>
          <w:bCs/>
        </w:rPr>
        <w:t xml:space="preserve"> Hence, the main difference is in the feedback optimization method</w:t>
      </w:r>
      <w:r w:rsidR="008E0C2E">
        <w:rPr>
          <w:bCs/>
        </w:rPr>
        <w:t xml:space="preserve">, which </w:t>
      </w:r>
      <w:r w:rsidR="00762F6B">
        <w:rPr>
          <w:bCs/>
        </w:rPr>
        <w:t>compared to the PMI feedback comes from the assumed averaging bandwidths and times of the covariance but even the PMI feedback would need to average the channel in one way or another at least over the reporting subbands, which may be expected to be configurable.</w:t>
      </w:r>
      <w:r w:rsidR="00C90C3A">
        <w:rPr>
          <w:bCs/>
        </w:rPr>
        <w:t xml:space="preserve"> For </w:t>
      </w:r>
      <w:r w:rsidR="008E0C2E">
        <w:rPr>
          <w:bCs/>
        </w:rPr>
        <w:t xml:space="preserve">a </w:t>
      </w:r>
      <w:r w:rsidR="00C90C3A">
        <w:rPr>
          <w:bCs/>
        </w:rPr>
        <w:t>large sample</w:t>
      </w:r>
      <w:r w:rsidR="008E0C2E">
        <w:rPr>
          <w:bCs/>
        </w:rPr>
        <w:t xml:space="preserve"> </w:t>
      </w:r>
      <w:r w:rsidR="000676E0">
        <w:rPr>
          <w:bCs/>
        </w:rPr>
        <w:t>set</w:t>
      </w:r>
      <w:r w:rsidR="00405D9E">
        <w:rPr>
          <w:bCs/>
        </w:rPr>
        <w:t xml:space="preserve"> though</w:t>
      </w:r>
      <w:r w:rsidR="00C90C3A">
        <w:rPr>
          <w:bCs/>
        </w:rPr>
        <w:t xml:space="preserve">, the covariance method is </w:t>
      </w:r>
      <w:r w:rsidR="008E0C2E">
        <w:rPr>
          <w:bCs/>
        </w:rPr>
        <w:t xml:space="preserve">a </w:t>
      </w:r>
      <w:r w:rsidR="00C90C3A">
        <w:rPr>
          <w:bCs/>
        </w:rPr>
        <w:t>more natural one capturing the correlation properties.</w:t>
      </w:r>
    </w:p>
    <w:p w14:paraId="31B4F1BC" w14:textId="39CC5007" w:rsidR="00CE5ED3" w:rsidRDefault="00045E46" w:rsidP="00F70C50">
      <w:r>
        <w:t>The Type-II category 3</w:t>
      </w:r>
      <w:r w:rsidR="00363614">
        <w:t xml:space="preserve"> feedback is defined as hybrid CSI feedback between Type-II CSI codebook and LTE-Class-B-type-like CSI feedback</w:t>
      </w:r>
      <w:r w:rsidR="00CE5ED3">
        <w:t>, where the long term</w:t>
      </w:r>
      <m:oMath>
        <m:r>
          <w:rPr>
            <w:rFonts w:ascii="Cambria Math" w:hAnsi="Cambria Math"/>
          </w:rPr>
          <m:t xml:space="preserve"> </m:t>
        </m:r>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CE5ED3">
        <w:t xml:space="preserve"> could be based on Type-II category 1 CSI codebook</w:t>
      </w:r>
      <w:r w:rsidR="00F70C50">
        <w:t>, beam selection</w:t>
      </w:r>
      <w:r w:rsidR="001545E2">
        <w:t xml:space="preserve"> or </w:t>
      </w:r>
      <w:r w:rsidR="00F70C50">
        <w:t>r</w:t>
      </w:r>
      <w:r w:rsidR="001545E2">
        <w:t>eciprocity</w:t>
      </w:r>
      <w:r w:rsidR="00363614">
        <w:t>.</w:t>
      </w:r>
    </w:p>
    <w:p w14:paraId="05AA76D1" w14:textId="67E67DD9" w:rsidR="00CE5ED3" w:rsidRDefault="00CE5ED3" w:rsidP="008777AA">
      <w:r>
        <w:t xml:space="preserve">Based on the above both Type-I and Type-II feedback is most likely based on two stage codebook where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is applying some configuration of 2D DFT vectors. Similarly basis combination is a common assumption considering that limiting to a single vector </w:t>
      </w:r>
      <w:r w:rsidR="00F70C50">
        <w:t>(</w:t>
      </w:r>
      <w:r w:rsidR="00F70C50" w:rsidRPr="00391490">
        <w:rPr>
          <w:i/>
          <w:iCs/>
        </w:rPr>
        <w:t>L</w:t>
      </w:r>
      <w:r w:rsidR="00F70C50">
        <w:t xml:space="preserve">=1) </w:t>
      </w:r>
      <w:r>
        <w:t xml:space="preserve">leads to the co-phasing. Many of the differences such as DFT oversampling factors, averaging bandwidths and amount of bits in quantization are related to the </w:t>
      </w:r>
      <w:r w:rsidR="0050402E">
        <w:t>parameterization</w:t>
      </w:r>
      <w:r>
        <w:t xml:space="preserve">. </w:t>
      </w:r>
      <w:r w:rsidR="008777AA">
        <w:t>On the other hand, t</w:t>
      </w:r>
      <w:r w:rsidR="00DD4631">
        <w:t xml:space="preserve">argeted number of layers is different between the MU and SU MIMO which may lead to more complex definition of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DD4631">
        <w:t xml:space="preserve"> in high rank case. </w:t>
      </w:r>
      <w:r>
        <w:t>Hence, following proposal could be considered:</w:t>
      </w:r>
    </w:p>
    <w:p w14:paraId="779CE845" w14:textId="24F05AD1" w:rsidR="00762F6B" w:rsidRDefault="000A3AC7" w:rsidP="00F70C50">
      <w:pPr>
        <w:pStyle w:val="Caption"/>
        <w:jc w:val="left"/>
      </w:pPr>
      <w:r>
        <w:t xml:space="preserve">Proposal </w:t>
      </w:r>
      <w:r>
        <w:fldChar w:fldCharType="begin"/>
      </w:r>
      <w:r>
        <w:instrText xml:space="preserve"> SEQ Proposal \* ARABIC </w:instrText>
      </w:r>
      <w:r>
        <w:fldChar w:fldCharType="separate"/>
      </w:r>
      <w:r w:rsidR="00D561F9">
        <w:rPr>
          <w:noProof/>
        </w:rPr>
        <w:t>1</w:t>
      </w:r>
      <w:r>
        <w:fldChar w:fldCharType="end"/>
      </w:r>
      <w:r>
        <w:t xml:space="preserve">: Strive to a unified codebook structure between </w:t>
      </w:r>
      <w:r w:rsidR="00807226">
        <w:t>Type</w:t>
      </w:r>
      <w:r>
        <w:t xml:space="preserve">-I and Type-II feedback at least for the </w:t>
      </w:r>
      <m:oMath>
        <m:sSub>
          <m:sSubPr>
            <m:ctrlPr>
              <w:rPr>
                <w:rFonts w:ascii="Cambria Math" w:hAnsi="Cambria Math"/>
                <w:i/>
              </w:rPr>
            </m:ctrlPr>
          </m:sSubPr>
          <m:e>
            <m:r>
              <m:rPr>
                <m:sty m:val="b"/>
              </m:rPr>
              <w:rPr>
                <w:rFonts w:ascii="Cambria Math" w:hAnsi="Cambria Math"/>
              </w:rPr>
              <m:t>W</m:t>
            </m:r>
          </m:e>
          <m:sub>
            <m:r>
              <m:rPr>
                <m:sty m:val="bi"/>
              </m:rPr>
              <w:rPr>
                <w:rFonts w:ascii="Cambria Math" w:hAnsi="Cambria Math"/>
              </w:rPr>
              <m:t>1</m:t>
            </m:r>
          </m:sub>
        </m:sSub>
      </m:oMath>
      <w:r w:rsidR="00E37996">
        <w:t xml:space="preserve"> and </w:t>
      </w:r>
      <w:r w:rsidR="00807226">
        <w:t xml:space="preserve">small </w:t>
      </w:r>
      <w:r w:rsidR="00E37996">
        <w:t>number of layers.</w:t>
      </w:r>
      <w:r w:rsidR="00363614">
        <w:t xml:space="preserve"> </w:t>
      </w:r>
    </w:p>
    <w:p w14:paraId="59878FAF" w14:textId="77777777" w:rsidR="0050402E" w:rsidRPr="0050402E" w:rsidRDefault="0050402E" w:rsidP="0050402E">
      <w:pPr>
        <w:pStyle w:val="Caption"/>
        <w:jc w:val="left"/>
      </w:pPr>
      <w:r>
        <w:t xml:space="preserve">Proposal </w:t>
      </w:r>
      <w:r>
        <w:fldChar w:fldCharType="begin"/>
      </w:r>
      <w:r>
        <w:instrText xml:space="preserve"> SEQ Proposal \* ARABIC </w:instrText>
      </w:r>
      <w:r>
        <w:fldChar w:fldCharType="separate"/>
      </w:r>
      <w:r w:rsidR="00D561F9">
        <w:rPr>
          <w:noProof/>
        </w:rPr>
        <w:t>2</w:t>
      </w:r>
      <w:r>
        <w:fldChar w:fldCharType="end"/>
      </w:r>
      <w:r>
        <w:t>: Try to avoid standardization of different feedback methods and consider if differences between Type-I and Type-II feedback can be handled by parameters.</w:t>
      </w:r>
    </w:p>
    <w:p w14:paraId="40A006B7" w14:textId="77777777" w:rsidR="006053B1" w:rsidRDefault="006053B1" w:rsidP="006053B1"/>
    <w:p w14:paraId="562E61A9" w14:textId="77777777" w:rsidR="00292F29" w:rsidRDefault="00292F29" w:rsidP="00292F29">
      <w:pPr>
        <w:pStyle w:val="Heading1"/>
      </w:pPr>
      <w:r>
        <w:lastRenderedPageBreak/>
        <w:t>System level simulation results</w:t>
      </w:r>
    </w:p>
    <w:p w14:paraId="4C657FAA" w14:textId="77777777" w:rsidR="00D14E5F" w:rsidRDefault="00D14E5F" w:rsidP="009F63BC">
      <w:r>
        <w:t>In this paper, Type-II category 1 codebook based feedback and category 2 covariance based feedback is studied</w:t>
      </w:r>
      <w:r w:rsidR="006B5645">
        <w:t xml:space="preserve"> at 30 GHz carrier frequency. Hybrid precoding is applied </w:t>
      </w:r>
      <w:r w:rsidR="006F74A1">
        <w:t xml:space="preserve">at 30 GHz </w:t>
      </w:r>
      <w:r w:rsidR="006B5645">
        <w:t>and the analog precoding is based on per panel 2D DFT matrices.</w:t>
      </w:r>
      <w:r w:rsidR="00FB4169">
        <w:t xml:space="preserve"> </w:t>
      </w:r>
      <w:r w:rsidR="006F74A1">
        <w:t xml:space="preserve">The simulations also </w:t>
      </w:r>
      <w:r w:rsidR="00D633D2">
        <w:t>study</w:t>
      </w:r>
      <w:r w:rsidR="006F74A1">
        <w:t xml:space="preserve"> the use of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E705DB">
        <w:t xml:space="preserve"> </w:t>
      </w:r>
      <w:r w:rsidR="006F74A1">
        <w:t xml:space="preserve">to reduce the matrix size </w:t>
      </w:r>
      <w:r w:rsidR="009F63BC">
        <w:t>used in</w:t>
      </w:r>
      <w:r w:rsidR="006F74A1">
        <w:t xml:space="preserve"> </w:t>
      </w:r>
      <w:r w:rsidR="009F63BC">
        <w:t xml:space="preserve">the </w:t>
      </w:r>
      <w:r w:rsidR="006F74A1">
        <w:t xml:space="preserve">eigenvector calculation </w:t>
      </w:r>
      <w:r w:rsidR="009F63BC">
        <w:t>as well as being part of the two stage codebook</w:t>
      </w:r>
      <w:r w:rsidR="006F74A1">
        <w:t xml:space="preserve">. </w:t>
      </w:r>
      <w:r w:rsidR="006B5645">
        <w:t xml:space="preserve">In the </w:t>
      </w:r>
      <w:r w:rsidR="00D633D2">
        <w:t xml:space="preserve">both cases (size reduction of the covariance matrix or the </w:t>
      </w:r>
      <w:r w:rsidR="00EF1F02">
        <w:t xml:space="preserve">two stage </w:t>
      </w:r>
      <w:r w:rsidR="006B5645">
        <w:t>digital precoding</w:t>
      </w:r>
      <w:r w:rsidR="00D633D2">
        <w:t>),</w:t>
      </w:r>
      <w:r w:rsidR="00FB4169">
        <w:t xml:space="preserve"> simulated schemes use </w:t>
      </w:r>
      <w:r w:rsidR="0075605D">
        <w:t>4x4</w:t>
      </w:r>
      <w:r w:rsidR="00FB4169">
        <w:t xml:space="preserve"> 2D DFT matrix </w:t>
      </w:r>
      <m:oMath>
        <m:r>
          <m:rPr>
            <m:sty m:val="b"/>
          </m:rPr>
          <w:rPr>
            <w:rFonts w:ascii="Cambria Math" w:hAnsi="Cambria Math"/>
          </w:rPr>
          <m:t>B</m:t>
        </m:r>
      </m:oMath>
      <w:r w:rsidR="0075605D">
        <w:t xml:space="preserve"> to construct</w:t>
      </w:r>
      <w:r w:rsidR="00FB4169">
        <w:t xml:space="preserve"> </w:t>
      </w:r>
    </w:p>
    <w:p w14:paraId="6CDF6C7B" w14:textId="77777777" w:rsidR="00FB4169" w:rsidRPr="00FB4169" w:rsidRDefault="000A022A" w:rsidP="00FB4169">
      <m:oMathPara>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
                      </m:rPr>
                      <w:rPr>
                        <w:rFonts w:ascii="Cambria Math" w:hAnsi="Cambria Math"/>
                      </w:rPr>
                      <m:t>B</m:t>
                    </m:r>
                  </m:e>
                  <m:e>
                    <m:r>
                      <w:rPr>
                        <w:rFonts w:ascii="Cambria Math" w:hAnsi="Cambria Math"/>
                      </w:rPr>
                      <m:t>0</m:t>
                    </m:r>
                  </m:e>
                </m:mr>
                <m:mr>
                  <m:e>
                    <m:r>
                      <w:rPr>
                        <w:rFonts w:ascii="Cambria Math" w:hAnsi="Cambria Math"/>
                      </w:rPr>
                      <m:t>0</m:t>
                    </m:r>
                  </m:e>
                  <m:e>
                    <m:r>
                      <m:rPr>
                        <m:sty m:val="b"/>
                      </m:rPr>
                      <w:rPr>
                        <w:rFonts w:ascii="Cambria Math" w:hAnsi="Cambria Math"/>
                      </w:rPr>
                      <m:t>B</m:t>
                    </m:r>
                  </m:e>
                </m:mr>
              </m:m>
            </m:e>
          </m:d>
        </m:oMath>
      </m:oMathPara>
    </w:p>
    <w:p w14:paraId="52518EB6" w14:textId="09F700C6" w:rsidR="00FB4169" w:rsidRDefault="00FB4169" w:rsidP="003B63BA">
      <w:r>
        <w:t xml:space="preserve">Where the same </w:t>
      </w:r>
      <m:oMath>
        <m:r>
          <m:rPr>
            <m:sty m:val="b"/>
          </m:rPr>
          <w:rPr>
            <w:rFonts w:ascii="Cambria Math" w:hAnsi="Cambria Math"/>
          </w:rPr>
          <m:t>B</m:t>
        </m:r>
      </m:oMath>
      <w:r w:rsidRPr="00FB4169">
        <w:rPr>
          <w:iCs/>
        </w:rPr>
        <w:t xml:space="preserve"> is used for the </w:t>
      </w:r>
      <w:r w:rsidR="008777AA">
        <w:rPr>
          <w:iCs/>
        </w:rPr>
        <w:t xml:space="preserve">different </w:t>
      </w:r>
      <w:r w:rsidRPr="00FB4169">
        <w:rPr>
          <w:iCs/>
        </w:rPr>
        <w:t>polarization</w:t>
      </w:r>
      <w:r w:rsidR="008777AA">
        <w:rPr>
          <w:iCs/>
        </w:rPr>
        <w:t>s</w:t>
      </w:r>
      <w:r w:rsidRPr="00FB4169">
        <w:rPr>
          <w:iCs/>
        </w:rPr>
        <w:t>.</w:t>
      </w:r>
      <w:r>
        <w:rPr>
          <w:iCs/>
        </w:rPr>
        <w:t xml:space="preserve"> Both schemes select </w:t>
      </w:r>
      <w:r w:rsidRPr="00FB4169">
        <w:rPr>
          <w:i/>
        </w:rPr>
        <w:t>L</w:t>
      </w:r>
      <w:r>
        <w:rPr>
          <w:iCs/>
        </w:rPr>
        <w:t xml:space="preserve">=3 orthogonal basis vectors out of 4.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is </w:t>
      </w:r>
      <w:r>
        <w:rPr>
          <w:iCs/>
        </w:rPr>
        <w:t>also assumed to be wideband matrix.</w:t>
      </w:r>
    </w:p>
    <w:p w14:paraId="1DDCC8D7" w14:textId="77777777" w:rsidR="00D14E5F" w:rsidRDefault="00EF1F02" w:rsidP="00C678E7">
      <w:r>
        <w:t>In the category 1 case, the</w:t>
      </w:r>
      <w:r w:rsidR="00C678E7">
        <w:t xml:space="preserve"> subband</w:t>
      </w:r>
      <w:r>
        <w:t xml:space="preserv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r>
          <w:rPr>
            <w:rFonts w:ascii="Cambria Math" w:hAnsi="Cambria Math"/>
          </w:rPr>
          <m:t xml:space="preserve"> </m:t>
        </m:r>
      </m:oMath>
      <w:r>
        <w:t xml:space="preserve">is a </w:t>
      </w:r>
      <w:r w:rsidR="00C678E7">
        <w:t xml:space="preserve">column </w:t>
      </w:r>
      <w:r>
        <w:t>vector</w:t>
      </w:r>
      <w:r w:rsidR="00C678E7">
        <w:t xml:space="preserve"> which is selected from the codebook to maximize the received power of a single layer. The codebook is constructed such that the amplitude and phase of each element is quantized by 2 and 3 bits, respectively. Hence, the scheme 1-1 is used.</w:t>
      </w:r>
    </w:p>
    <w:p w14:paraId="3A11A916" w14:textId="77777777" w:rsidR="00EC6890" w:rsidRDefault="00EC6890" w:rsidP="008777AA">
      <w:r>
        <w:t xml:space="preserve">In the category 2 case, the size of the channel sample covariance </w:t>
      </w:r>
      <m:oMath>
        <m:r>
          <m:rPr>
            <m:sty m:val="b"/>
          </m:rPr>
          <w:rPr>
            <w:rFonts w:ascii="Cambria Math" w:hAnsi="Cambria Math"/>
          </w:rPr>
          <m:t>C=</m:t>
        </m:r>
        <m:f>
          <m:fPr>
            <m:type m:val="skw"/>
            <m:ctrlPr>
              <w:rPr>
                <w:rFonts w:ascii="Cambria Math" w:hAnsi="Cambria Math"/>
                <w:bCs/>
              </w:rPr>
            </m:ctrlPr>
          </m:fPr>
          <m:num>
            <m:r>
              <w:rPr>
                <w:rFonts w:ascii="Cambria Math" w:hAnsi="Cambria Math"/>
              </w:rPr>
              <m:t>1</m:t>
            </m:r>
          </m:num>
          <m:den>
            <m:r>
              <w:rPr>
                <w:rFonts w:ascii="Cambria Math" w:hAnsi="Cambria Math"/>
              </w:rPr>
              <m:t>n</m:t>
            </m:r>
          </m:den>
        </m:f>
        <m:nary>
          <m:naryPr>
            <m:chr m:val="∑"/>
            <m:limLoc m:val="undOvr"/>
            <m:subHide m:val="1"/>
            <m:supHide m:val="1"/>
            <m:ctrlPr>
              <w:rPr>
                <w:rFonts w:ascii="Cambria Math" w:hAnsi="Cambria Math"/>
                <w:b/>
              </w:rPr>
            </m:ctrlPr>
          </m:naryPr>
          <m:sub/>
          <m:sup/>
          <m:e>
            <m:sSup>
              <m:sSupPr>
                <m:ctrlPr>
                  <w:rPr>
                    <w:rFonts w:ascii="Cambria Math" w:hAnsi="Cambria Math"/>
                    <w:i/>
                  </w:rPr>
                </m:ctrlPr>
              </m:sSupPr>
              <m:e>
                <m:r>
                  <m:rPr>
                    <m:sty m:val="b"/>
                  </m:rPr>
                  <w:rPr>
                    <w:rFonts w:ascii="Cambria Math" w:hAnsi="Cambria Math"/>
                  </w:rPr>
                  <m:t>H</m:t>
                </m:r>
              </m:e>
              <m:sup>
                <m:r>
                  <m:rPr>
                    <m:sty m:val="p"/>
                  </m:rPr>
                  <w:rPr>
                    <w:rFonts w:ascii="Cambria Math" w:hAnsi="Cambria Math"/>
                  </w:rPr>
                  <m:t>H</m:t>
                </m:r>
              </m:sup>
            </m:sSup>
            <m:r>
              <m:rPr>
                <m:sty m:val="b"/>
              </m:rPr>
              <w:rPr>
                <w:rFonts w:ascii="Cambria Math" w:hAnsi="Cambria Math"/>
              </w:rPr>
              <m:t>H</m:t>
            </m:r>
          </m:e>
        </m:nary>
      </m:oMath>
      <w:r>
        <w:t xml:space="preserve"> is reduced by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such that </w:t>
      </w:r>
      <m:oMath>
        <m:r>
          <m:rPr>
            <m:sty m:val="b"/>
          </m:rPr>
          <w:rPr>
            <w:rFonts w:ascii="Cambria Math" w:hAnsi="Cambria Math"/>
          </w:rPr>
          <m:t>C'=</m:t>
        </m:r>
        <m:sSubSup>
          <m:sSubSupPr>
            <m:ctrlPr>
              <w:rPr>
                <w:rFonts w:ascii="Cambria Math" w:hAnsi="Cambria Math"/>
                <w:b/>
              </w:rPr>
            </m:ctrlPr>
          </m:sSubSupPr>
          <m:e>
            <m:r>
              <m:rPr>
                <m:sty m:val="b"/>
              </m:rPr>
              <w:rPr>
                <w:rFonts w:ascii="Cambria Math" w:hAnsi="Cambria Math"/>
              </w:rPr>
              <m:t>W</m:t>
            </m:r>
          </m:e>
          <m:sub>
            <m:r>
              <m:rPr>
                <m:nor/>
              </m:rPr>
              <w:rPr>
                <w:rFonts w:ascii="Cambria Math" w:hAnsi="Cambria Math"/>
                <w:bCs/>
              </w:rPr>
              <m:t>1</m:t>
            </m:r>
          </m:sub>
          <m:sup>
            <m:r>
              <m:rPr>
                <m:sty m:val="p"/>
              </m:rPr>
              <w:rPr>
                <w:rFonts w:ascii="Cambria Math" w:hAnsi="Cambria Math"/>
              </w:rPr>
              <m:t>H</m:t>
            </m:r>
          </m:sup>
        </m:sSubSup>
        <m:sSub>
          <m:sSubPr>
            <m:ctrlPr>
              <w:rPr>
                <w:rFonts w:ascii="Cambria Math" w:hAnsi="Cambria Math"/>
                <w:i/>
              </w:rPr>
            </m:ctrlPr>
          </m:sSubPr>
          <m:e>
            <m:r>
              <m:rPr>
                <m:sty m:val="b"/>
              </m:rPr>
              <w:rPr>
                <w:rFonts w:ascii="Cambria Math" w:hAnsi="Cambria Math"/>
              </w:rPr>
              <m:t>CW</m:t>
            </m:r>
          </m:e>
          <m:sub>
            <m:r>
              <m:rPr>
                <m:nor/>
              </m:rPr>
              <w:rPr>
                <w:rFonts w:ascii="Cambria Math" w:hAnsi="Cambria Math"/>
                <w:bCs/>
              </w:rPr>
              <m:t>1</m:t>
            </m:r>
          </m:sub>
        </m:sSub>
      </m:oMath>
      <w:r w:rsidR="00052FE3">
        <w:t xml:space="preserve">and the eigenvectors are calculated. In other words </w:t>
      </w:r>
      <m:oMath>
        <m:sSup>
          <m:sSupPr>
            <m:ctrlPr>
              <w:rPr>
                <w:rFonts w:ascii="Cambria Math" w:hAnsi="Cambria Math"/>
                <w:b/>
              </w:rPr>
            </m:ctrlPr>
          </m:sSupPr>
          <m:e>
            <m:r>
              <m:rPr>
                <m:sty m:val="b"/>
              </m:rPr>
              <w:rPr>
                <w:rFonts w:ascii="Cambria Math" w:hAnsi="Cambria Math"/>
              </w:rPr>
              <m:t>C</m:t>
            </m:r>
          </m:e>
          <m:sup>
            <m:r>
              <m:rPr>
                <m:sty m:val="b"/>
              </m:rPr>
              <w:rPr>
                <w:rFonts w:ascii="Cambria Math" w:hAnsi="Cambria Math"/>
              </w:rPr>
              <m:t>'</m:t>
            </m:r>
          </m:sup>
        </m:s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m:rPr>
            <m:sty m:val="b"/>
          </m:rPr>
          <w:rPr>
            <w:rFonts w:ascii="Cambria Math" w:hAnsi="Cambria Math"/>
          </w:rPr>
          <m:t>D</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oMath>
      <w:r w:rsidR="00052FE3">
        <w:t xml:space="preserve"> and each </w:t>
      </w:r>
      <w:r w:rsidR="006626A8">
        <w:t xml:space="preserve">of the 6 </w:t>
      </w:r>
      <w:r w:rsidR="00052FE3">
        <w:t>element</w:t>
      </w:r>
      <w:r w:rsidR="006626A8">
        <w:t>s</w:t>
      </w:r>
      <w:r w:rsidR="00052FE3">
        <w:t xml:space="preserve"> in the dominant eigenvector is quantized by 2 </w:t>
      </w:r>
      <w:r w:rsidR="008777AA">
        <w:t xml:space="preserve">amplitude </w:t>
      </w:r>
      <w:r w:rsidR="00052FE3">
        <w:t xml:space="preserve">and 3 </w:t>
      </w:r>
      <w:r w:rsidR="008777AA">
        <w:t xml:space="preserve">phase </w:t>
      </w:r>
      <w:r w:rsidR="00052FE3">
        <w:t xml:space="preserve">bits. The sample covariance is calculated over a </w:t>
      </w:r>
      <w:r w:rsidR="005B44E9">
        <w:t>subband or</w:t>
      </w:r>
      <w:r w:rsidR="00AD2977">
        <w:t xml:space="preserve"> over the whole</w:t>
      </w:r>
      <w:r w:rsidR="00052FE3">
        <w:t xml:space="preserve"> system band in these simulations.</w:t>
      </w:r>
      <w:r w:rsidR="00AD2977">
        <w:t xml:space="preserve"> Compared to the results in the previous paper </w:t>
      </w:r>
      <w:r w:rsidR="00AD2977">
        <w:fldChar w:fldCharType="begin"/>
      </w:r>
      <w:r w:rsidR="00AD2977">
        <w:instrText xml:space="preserve"> REF _Ref473295129 \r \h </w:instrText>
      </w:r>
      <w:r w:rsidR="00AD2977">
        <w:fldChar w:fldCharType="separate"/>
      </w:r>
      <w:r w:rsidR="00D561F9">
        <w:rPr>
          <w:cs/>
        </w:rPr>
        <w:t>‎</w:t>
      </w:r>
      <w:r w:rsidR="00D561F9">
        <w:t>[6]</w:t>
      </w:r>
      <w:r w:rsidR="00AD2977">
        <w:fldChar w:fldCharType="end"/>
      </w:r>
      <w:r w:rsidR="00AD2977">
        <w:t xml:space="preserve">, the structure of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AD2977">
        <w:t xml:space="preserve"> is modified in order to better comply with the agreements.</w:t>
      </w:r>
    </w:p>
    <w:p w14:paraId="529087AF" w14:textId="77777777" w:rsidR="00292F29" w:rsidRDefault="00F52427" w:rsidP="00F52427">
      <w:r>
        <w:t xml:space="preserve">Linear </w:t>
      </w:r>
      <w:r w:rsidR="00292F29">
        <w:t xml:space="preserve">MU-MIMO simulations were made using assumptions from </w:t>
      </w:r>
      <w:r w:rsidR="00292F29">
        <w:fldChar w:fldCharType="begin"/>
      </w:r>
      <w:r w:rsidR="00292F29">
        <w:instrText xml:space="preserve"> REF _Ref465680349 \h </w:instrText>
      </w:r>
      <w:r w:rsidR="00292F29">
        <w:fldChar w:fldCharType="separate"/>
      </w:r>
      <w:r w:rsidR="00D561F9">
        <w:t xml:space="preserve">Table </w:t>
      </w:r>
      <w:r w:rsidR="00D561F9">
        <w:rPr>
          <w:noProof/>
        </w:rPr>
        <w:t>2</w:t>
      </w:r>
      <w:r w:rsidR="00292F29">
        <w:fldChar w:fldCharType="end"/>
      </w:r>
      <w:r w:rsidR="00292F29">
        <w:t xml:space="preserve"> in order to study the performance of </w:t>
      </w:r>
      <w:r w:rsidR="000253B9">
        <w:t xml:space="preserve">the </w:t>
      </w:r>
      <w:r>
        <w:t>Type-II feedback</w:t>
      </w:r>
      <w:r w:rsidR="00292F29">
        <w:t>. The feedback essentially requires following steps:</w:t>
      </w:r>
    </w:p>
    <w:p w14:paraId="0DB2247C" w14:textId="77777777" w:rsidR="00292F29" w:rsidRDefault="00292F29" w:rsidP="00292F29">
      <w:pPr>
        <w:pStyle w:val="ListParagraph"/>
        <w:numPr>
          <w:ilvl w:val="0"/>
          <w:numId w:val="27"/>
        </w:numPr>
        <w:ind w:firstLineChars="0"/>
      </w:pPr>
      <w:r>
        <w:t>The analog beamformer feedback. This is assumed to be based on wideband beam sweeping</w:t>
      </w:r>
    </w:p>
    <w:p w14:paraId="062E6FB5" w14:textId="77777777" w:rsidR="00292F29" w:rsidRDefault="00292F29" w:rsidP="00D0660E">
      <w:pPr>
        <w:pStyle w:val="ListParagraph"/>
        <w:numPr>
          <w:ilvl w:val="0"/>
          <w:numId w:val="27"/>
        </w:numPr>
        <w:ind w:firstLineChars="0"/>
        <w:jc w:val="left"/>
      </w:pPr>
      <w:r>
        <w:t xml:space="preserve">Feedback of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matrix</w:t>
      </w:r>
      <w:r w:rsidR="009F032B">
        <w:t xml:space="preserve"> if applicable</w:t>
      </w:r>
      <w:r>
        <w:t xml:space="preserve">. Simulations assume that </w:t>
      </w:r>
      <w:r w:rsidR="00D0660E" w:rsidRPr="00154B45">
        <w:rPr>
          <w:i/>
          <w:iCs/>
        </w:rPr>
        <w:t>L</w:t>
      </w:r>
      <w:r w:rsidR="00D0660E">
        <w:t xml:space="preserve"> = </w:t>
      </w:r>
      <w:r>
        <w:t xml:space="preserve">3 orthogonal vectors are selected from size 4 DFT matrix totaling </w:t>
      </w:r>
      <w:r w:rsidR="007A1E81">
        <w:t>2</w:t>
      </w:r>
      <w:r>
        <w:t xml:space="preserve"> bits of feedback. </w:t>
      </w:r>
    </w:p>
    <w:p w14:paraId="3E80313F" w14:textId="77777777" w:rsidR="000253B9" w:rsidRPr="000253B9" w:rsidRDefault="00292F29" w:rsidP="00EF1F02">
      <w:pPr>
        <w:pStyle w:val="ListParagraph"/>
        <w:numPr>
          <w:ilvl w:val="0"/>
          <w:numId w:val="27"/>
        </w:numPr>
        <w:ind w:firstLineChars="0"/>
      </w:pPr>
      <w:r>
        <w:t xml:space="preserve">The feedback of </w:t>
      </w:r>
      <w:r w:rsidR="000253B9">
        <w:t xml:space="preserve">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0253B9">
        <w:rPr>
          <w:bCs/>
        </w:rPr>
        <w:t xml:space="preserve"> information assuming 2 alternatives</w:t>
      </w:r>
      <w:r w:rsidR="00B40E83">
        <w:rPr>
          <w:bCs/>
        </w:rPr>
        <w:t>:</w:t>
      </w:r>
    </w:p>
    <w:p w14:paraId="56EE0418" w14:textId="77777777" w:rsidR="00292F29" w:rsidRDefault="000253B9" w:rsidP="00667910">
      <w:pPr>
        <w:pStyle w:val="ListParagraph"/>
        <w:numPr>
          <w:ilvl w:val="1"/>
          <w:numId w:val="27"/>
        </w:numPr>
        <w:ind w:firstLineChars="0"/>
      </w:pPr>
      <w:r>
        <w:t>D</w:t>
      </w:r>
      <w:r w:rsidR="00292F29">
        <w:t xml:space="preserve">ominant eigenvector after </w:t>
      </w:r>
      <w:r>
        <w:t>quantization</w:t>
      </w:r>
      <w:r w:rsidR="00292F29">
        <w:t>. The amplitude and phase of each element is sampled by 2 and 3 bits, respectively.</w:t>
      </w:r>
      <w:r w:rsidR="007A1E81">
        <w:t xml:space="preserve"> Note that th</w:t>
      </w:r>
      <w:r w:rsidR="009F032B">
        <w:t>e</w:t>
      </w:r>
      <w:r w:rsidR="007A1E81">
        <w:t xml:space="preserve"> covariance matrix</w:t>
      </w:r>
      <w:r w:rsidR="009F032B">
        <w:t xml:space="preserve"> may</w:t>
      </w:r>
      <w:r w:rsidR="00667910">
        <w:t xml:space="preserve"> </w:t>
      </w:r>
      <w:r w:rsidR="009F032B">
        <w:t xml:space="preserve">be </w:t>
      </w:r>
      <w:r w:rsidR="00667910">
        <w:t xml:space="preserve">a </w:t>
      </w:r>
      <w:r w:rsidR="009F032B">
        <w:t>subband or wideband</w:t>
      </w:r>
      <w:r w:rsidR="00667910">
        <w:t xml:space="preserve"> matrix</w:t>
      </w:r>
      <w:r w:rsidR="007A1E81">
        <w:t>.</w:t>
      </w:r>
    </w:p>
    <w:p w14:paraId="041FEE21" w14:textId="77777777" w:rsidR="000253B9" w:rsidRDefault="009F032B" w:rsidP="000253B9">
      <w:pPr>
        <w:pStyle w:val="ListParagraph"/>
        <w:numPr>
          <w:ilvl w:val="1"/>
          <w:numId w:val="27"/>
        </w:numPr>
        <w:ind w:firstLineChars="0"/>
      </w:pPr>
      <w:r>
        <w:t>A single layer CB</w:t>
      </w:r>
      <w:r w:rsidR="000253B9">
        <w:t xml:space="preserve"> vector maximizing the signal power at the receiver. The amplitude and phase of each element is sampled by 2 and 3 bits, respectively. </w:t>
      </w:r>
    </w:p>
    <w:p w14:paraId="57FF208F" w14:textId="77777777" w:rsidR="00292F29" w:rsidRDefault="00292F29" w:rsidP="00292F29">
      <w:pPr>
        <w:pStyle w:val="ListParagraph"/>
        <w:numPr>
          <w:ilvl w:val="0"/>
          <w:numId w:val="27"/>
        </w:numPr>
        <w:ind w:firstLineChars="0"/>
      </w:pPr>
      <w:r>
        <w:t>Feedback of the interference level.</w:t>
      </w:r>
    </w:p>
    <w:p w14:paraId="7190ED1B" w14:textId="77777777" w:rsidR="0058444B" w:rsidRPr="00CA0DAD" w:rsidRDefault="0058444B" w:rsidP="0058444B"/>
    <w:p w14:paraId="5FE518DF" w14:textId="211F811F" w:rsidR="00154B45" w:rsidRDefault="00584140" w:rsidP="005E291D">
      <w:r>
        <w:t xml:space="preserve">The average cell throughput is depicted in </w:t>
      </w:r>
      <w:r w:rsidR="009F63BC">
        <w:fldChar w:fldCharType="begin"/>
      </w:r>
      <w:r w:rsidR="009F63BC">
        <w:instrText xml:space="preserve"> REF _Ref473717696 \h </w:instrText>
      </w:r>
      <w:r w:rsidR="009F63BC">
        <w:fldChar w:fldCharType="separate"/>
      </w:r>
      <w:r w:rsidR="00D561F9">
        <w:t xml:space="preserve">Figure </w:t>
      </w:r>
      <w:r w:rsidR="00D561F9">
        <w:rPr>
          <w:noProof/>
        </w:rPr>
        <w:t>1</w:t>
      </w:r>
      <w:r w:rsidR="009F63BC">
        <w:fldChar w:fldCharType="end"/>
      </w:r>
      <w:r>
        <w:t xml:space="preserve">. The reference is the ideal unquantized feedback </w:t>
      </w:r>
      <w:r w:rsidR="00C555BC">
        <w:t>assuming</w:t>
      </w:r>
      <w:r>
        <w:t xml:space="preserve"> a subband of 12 subcarriers.</w:t>
      </w:r>
      <w:r w:rsidR="00CE1E06">
        <w:t xml:space="preserve"> Same subband size is assumed for other schemes as well.</w:t>
      </w:r>
      <w:r>
        <w:t xml:space="preserve"> </w:t>
      </w:r>
      <w:r w:rsidR="00154B45" w:rsidRPr="00154B45">
        <w:t xml:space="preserve">The feedback overhead is summarized in </w:t>
      </w:r>
      <w:r w:rsidR="00154B45" w:rsidRPr="00154B45">
        <w:fldChar w:fldCharType="begin"/>
      </w:r>
      <w:r w:rsidR="00154B45" w:rsidRPr="00154B45">
        <w:instrText xml:space="preserve"> REF _Ref471302168 \h  \* MERGEFORMAT </w:instrText>
      </w:r>
      <w:r w:rsidR="00154B45" w:rsidRPr="00154B45">
        <w:fldChar w:fldCharType="separate"/>
      </w:r>
      <w:r w:rsidR="00D561F9">
        <w:t xml:space="preserve">Table </w:t>
      </w:r>
      <w:r w:rsidR="00D561F9">
        <w:rPr>
          <w:noProof/>
        </w:rPr>
        <w:t>1</w:t>
      </w:r>
      <w:r w:rsidR="00154B45" w:rsidRPr="00154B45">
        <w:fldChar w:fldCharType="end"/>
      </w:r>
      <w:r w:rsidR="00154B45" w:rsidRPr="00154B45">
        <w:t>. The table also contains</w:t>
      </w:r>
      <w:r w:rsidR="00154B45">
        <w:t xml:space="preserve"> the figure labels. It can be observed that using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154B45">
        <w:t xml:space="preserve"> to reduce the covariance matrix size has a small impact to </w:t>
      </w:r>
      <w:r w:rsidR="00A51514">
        <w:t xml:space="preserve">the </w:t>
      </w:r>
      <w:r w:rsidR="00154B45">
        <w:t xml:space="preserve">performance. This is partly caused by the large </w:t>
      </w:r>
      <w:r w:rsidR="00154B45" w:rsidRPr="00154B45">
        <w:rPr>
          <w:i/>
          <w:iCs/>
        </w:rPr>
        <w:t>L</w:t>
      </w:r>
      <w:r w:rsidR="00154B45">
        <w:t xml:space="preserve"> value. It can also be observed that the wideband covariance feedback performs very well. T</w:t>
      </w:r>
      <w:r w:rsidR="00CE1E06">
        <w:t>his happens because t</w:t>
      </w:r>
      <w:r w:rsidR="00154B45">
        <w:t>he MU-MIMO scheme is exploiting primarily analog beams in the user multiplexing reducing the importance of the digital feedback.</w:t>
      </w:r>
      <w:r w:rsidR="00D51B53">
        <w:t xml:space="preserve"> It </w:t>
      </w:r>
      <w:r w:rsidR="00A51514">
        <w:t>was</w:t>
      </w:r>
      <w:r w:rsidR="00D51B53">
        <w:t xml:space="preserve"> expected that the eigenvector and codebook feedback should perform similarly. The average performance of</w:t>
      </w:r>
      <w:r w:rsidR="002F3498">
        <w:t xml:space="preserve"> the codebook solution is marginal</w:t>
      </w:r>
      <w:r w:rsidR="00D51B53">
        <w:t>ly better in these simulations but also a marginally higher outage was observed trading a few very low throughput UEs to benefit of everyone else.</w:t>
      </w:r>
      <w:r w:rsidR="00676B51">
        <w:t xml:space="preserve"> Hence, it could be concluded that in the studied </w:t>
      </w:r>
      <w:r w:rsidR="00676B51">
        <w:lastRenderedPageBreak/>
        <w:t xml:space="preserve">conditions, all feedback schemes have </w:t>
      </w:r>
      <w:r w:rsidR="005E291D">
        <w:t xml:space="preserve">pretty </w:t>
      </w:r>
      <w:r w:rsidR="00676B51">
        <w:t xml:space="preserve">similar performance and </w:t>
      </w:r>
      <w:r w:rsidR="007C4693">
        <w:t xml:space="preserve">one </w:t>
      </w:r>
      <w:r w:rsidR="00676B51">
        <w:t xml:space="preserve">unified </w:t>
      </w:r>
      <w:r w:rsidR="007C4693">
        <w:t xml:space="preserve">solution </w:t>
      </w:r>
      <w:r w:rsidR="005E291D">
        <w:t>could be investigated.</w:t>
      </w:r>
    </w:p>
    <w:p w14:paraId="277D0021" w14:textId="77777777" w:rsidR="005E291D" w:rsidRDefault="005E291D" w:rsidP="005E291D"/>
    <w:p w14:paraId="74F0CB25" w14:textId="266DEE0B" w:rsidR="005E291D" w:rsidRDefault="005E291D" w:rsidP="00391490">
      <w:pPr>
        <w:pStyle w:val="Caption"/>
        <w:jc w:val="left"/>
      </w:pPr>
      <w:bookmarkStart w:id="3" w:name="_Ref473897610"/>
      <w:r>
        <w:t xml:space="preserve">Observation </w:t>
      </w:r>
      <w:r>
        <w:fldChar w:fldCharType="begin"/>
      </w:r>
      <w:r>
        <w:instrText xml:space="preserve"> SEQ Observation \* ARABIC </w:instrText>
      </w:r>
      <w:r>
        <w:fldChar w:fldCharType="separate"/>
      </w:r>
      <w:r>
        <w:rPr>
          <w:noProof/>
        </w:rPr>
        <w:t>1</w:t>
      </w:r>
      <w:r>
        <w:fldChar w:fldCharType="end"/>
      </w:r>
      <w:r>
        <w:t>:</w:t>
      </w:r>
      <w:r w:rsidRPr="005E291D">
        <w:t xml:space="preserve"> </w:t>
      </w:r>
      <w:r>
        <w:t>In the studied conditions, all feedback schemes have pretty similar performance and one unified solution could be investigated.</w:t>
      </w:r>
      <w:bookmarkEnd w:id="3"/>
    </w:p>
    <w:p w14:paraId="3D3EA642" w14:textId="77777777" w:rsidR="005E291D" w:rsidRPr="00391490" w:rsidRDefault="005E291D">
      <w:pPr>
        <w:rPr>
          <w:lang w:val="en-GB" w:eastAsia="zh-CN"/>
        </w:rPr>
      </w:pPr>
    </w:p>
    <w:p w14:paraId="72F80AC9" w14:textId="2B4F81D5" w:rsidR="009E219A" w:rsidRDefault="009E219A" w:rsidP="009E219A">
      <w:pPr>
        <w:pStyle w:val="Caption"/>
        <w:keepNext/>
      </w:pPr>
      <w:bookmarkStart w:id="4" w:name="_Ref471302168"/>
      <w:r>
        <w:t xml:space="preserve">Table </w:t>
      </w:r>
      <w:r>
        <w:fldChar w:fldCharType="begin"/>
      </w:r>
      <w:r>
        <w:instrText xml:space="preserve"> SEQ Table \* ARABIC </w:instrText>
      </w:r>
      <w:r>
        <w:fldChar w:fldCharType="separate"/>
      </w:r>
      <w:r w:rsidR="00D561F9">
        <w:rPr>
          <w:noProof/>
        </w:rPr>
        <w:t>1</w:t>
      </w:r>
      <w:r>
        <w:fldChar w:fldCharType="end"/>
      </w:r>
      <w:bookmarkEnd w:id="4"/>
      <w:r>
        <w:t>. Feedback overhead</w:t>
      </w:r>
      <w:r w:rsidR="00CE1E06">
        <w:t xml:space="preserve"> </w:t>
      </w:r>
      <w:r w:rsidR="00354F65">
        <w:t xml:space="preserve">of Category 1 and 2 </w:t>
      </w:r>
      <w:r w:rsidR="00CE1E06">
        <w:t>for 40MHz system bandwidth</w:t>
      </w:r>
      <w:r>
        <w:t>.</w:t>
      </w:r>
    </w:p>
    <w:tbl>
      <w:tblPr>
        <w:tblStyle w:val="TableGrid"/>
        <w:tblW w:w="0" w:type="auto"/>
        <w:tblLook w:val="04A0" w:firstRow="1" w:lastRow="0" w:firstColumn="1" w:lastColumn="0" w:noHBand="0" w:noVBand="1"/>
      </w:tblPr>
      <w:tblGrid>
        <w:gridCol w:w="2875"/>
        <w:gridCol w:w="5400"/>
      </w:tblGrid>
      <w:tr w:rsidR="009E219A" w14:paraId="57AFC192" w14:textId="77777777" w:rsidTr="009E219A">
        <w:tc>
          <w:tcPr>
            <w:tcW w:w="2875" w:type="dxa"/>
            <w:shd w:val="clear" w:color="auto" w:fill="E7E6E6" w:themeFill="background2"/>
          </w:tcPr>
          <w:p w14:paraId="30C2B0D0" w14:textId="77777777" w:rsidR="009E219A" w:rsidRDefault="009E219A" w:rsidP="0067047B">
            <w:r>
              <w:t>Quantization scheme</w:t>
            </w:r>
          </w:p>
        </w:tc>
        <w:tc>
          <w:tcPr>
            <w:tcW w:w="5400" w:type="dxa"/>
            <w:shd w:val="clear" w:color="auto" w:fill="E7E6E6" w:themeFill="background2"/>
          </w:tcPr>
          <w:p w14:paraId="3805F5B4" w14:textId="77777777" w:rsidR="009E219A" w:rsidRDefault="009E219A" w:rsidP="0067047B">
            <w:r>
              <w:t>Number of bits</w:t>
            </w:r>
          </w:p>
        </w:tc>
      </w:tr>
      <w:tr w:rsidR="009E219A" w14:paraId="65D17643" w14:textId="77777777" w:rsidTr="009E219A">
        <w:tc>
          <w:tcPr>
            <w:tcW w:w="2875" w:type="dxa"/>
          </w:tcPr>
          <w:p w14:paraId="0CA1ED50" w14:textId="77777777" w:rsidR="009E219A" w:rsidRDefault="009E219A" w:rsidP="003B3E5A">
            <w:pPr>
              <w:jc w:val="left"/>
            </w:pPr>
            <w:r>
              <w:t>ideal feedback</w:t>
            </w:r>
          </w:p>
        </w:tc>
        <w:tc>
          <w:tcPr>
            <w:tcW w:w="5400" w:type="dxa"/>
          </w:tcPr>
          <w:p w14:paraId="3B19BF6C" w14:textId="77777777" w:rsidR="009E219A" w:rsidRDefault="009E219A" w:rsidP="0067047B">
            <w:r>
              <w:t>NA</w:t>
            </w:r>
          </w:p>
        </w:tc>
      </w:tr>
      <w:tr w:rsidR="009E219A" w14:paraId="27E6CB8D" w14:textId="77777777" w:rsidTr="009E219A">
        <w:tc>
          <w:tcPr>
            <w:tcW w:w="2875" w:type="dxa"/>
          </w:tcPr>
          <w:p w14:paraId="2FB2D4FD" w14:textId="77777777" w:rsidR="009E219A" w:rsidRDefault="005B44E9" w:rsidP="005B44E9">
            <w:pPr>
              <w:jc w:val="left"/>
            </w:pPr>
            <w:r>
              <w:t>Subband e</w:t>
            </w:r>
            <w:r w:rsidR="009E219A">
              <w:t>igenvector feedback</w:t>
            </w:r>
            <w:r>
              <w:t xml:space="preserve"> (SB eig.)</w:t>
            </w:r>
          </w:p>
        </w:tc>
        <w:tc>
          <w:tcPr>
            <w:tcW w:w="5400" w:type="dxa"/>
          </w:tcPr>
          <w:p w14:paraId="7AA1AFEB" w14:textId="77777777" w:rsidR="009E219A" w:rsidRDefault="009E219A" w:rsidP="009E219A">
            <w:r>
              <w:t>8</w:t>
            </w:r>
            <w:r w:rsidR="00853544">
              <w:t xml:space="preserve"> </w:t>
            </w:r>
            <w:r>
              <w:t>*</w:t>
            </w:r>
            <w:r w:rsidR="00853544">
              <w:t xml:space="preserve"> </w:t>
            </w:r>
            <w:r>
              <w:t>(2</w:t>
            </w:r>
            <w:r w:rsidR="00853544">
              <w:t xml:space="preserve"> </w:t>
            </w:r>
            <w:r>
              <w:t>+</w:t>
            </w:r>
            <w:r w:rsidR="00853544">
              <w:t xml:space="preserve"> </w:t>
            </w:r>
            <w:r>
              <w:t>3)</w:t>
            </w:r>
            <w:r w:rsidR="00853544">
              <w:t xml:space="preserve"> </w:t>
            </w:r>
            <w:r>
              <w:t>*</w:t>
            </w:r>
            <w:r w:rsidR="00853544">
              <w:t xml:space="preserve"> </w:t>
            </w:r>
            <w:r>
              <w:t>50 = 2000</w:t>
            </w:r>
          </w:p>
        </w:tc>
      </w:tr>
      <w:tr w:rsidR="005B44E9" w14:paraId="71FB1B1B" w14:textId="77777777" w:rsidTr="009E219A">
        <w:tc>
          <w:tcPr>
            <w:tcW w:w="2875" w:type="dxa"/>
          </w:tcPr>
          <w:p w14:paraId="5C1B9964" w14:textId="77777777" w:rsidR="005B44E9" w:rsidRDefault="005B44E9" w:rsidP="009F63BC">
            <w:pPr>
              <w:jc w:val="left"/>
            </w:pPr>
            <w:r>
              <w:t xml:space="preserve">Subband eigenvector </w:t>
            </w:r>
            <w:r w:rsidR="009F63BC">
              <w:t xml:space="preserve">using W1 (SB W1eig.) </w:t>
            </w:r>
            <w:r>
              <w:t xml:space="preserve">or </w:t>
            </w:r>
            <w:r w:rsidR="009F63BC">
              <w:t xml:space="preserve">two stage codebook </w:t>
            </w:r>
            <w:r>
              <w:t xml:space="preserve">feedback </w:t>
            </w:r>
            <w:r w:rsidR="009F63BC">
              <w:t>(</w:t>
            </w:r>
            <w:r>
              <w:t xml:space="preserve">SB W1 CB) </w:t>
            </w:r>
          </w:p>
        </w:tc>
        <w:tc>
          <w:tcPr>
            <w:tcW w:w="5400" w:type="dxa"/>
          </w:tcPr>
          <w:p w14:paraId="29D881DF" w14:textId="77777777" w:rsidR="005B44E9" w:rsidRDefault="005B44E9" w:rsidP="005B44E9">
            <w:r>
              <w:t>2 + 6 * (2</w:t>
            </w:r>
            <w:r w:rsidR="00D52FD9">
              <w:t xml:space="preserve"> </w:t>
            </w:r>
            <w:r>
              <w:t>+</w:t>
            </w:r>
            <w:r w:rsidR="00D52FD9">
              <w:t xml:space="preserve"> </w:t>
            </w:r>
            <w:r>
              <w:t>3) * 50 = 1502</w:t>
            </w:r>
          </w:p>
        </w:tc>
      </w:tr>
      <w:tr w:rsidR="005B44E9" w14:paraId="3861029C" w14:textId="77777777" w:rsidTr="009E219A">
        <w:tc>
          <w:tcPr>
            <w:tcW w:w="2875" w:type="dxa"/>
          </w:tcPr>
          <w:p w14:paraId="494BC582" w14:textId="77777777" w:rsidR="005B44E9" w:rsidRDefault="005B44E9" w:rsidP="005B44E9">
            <w:pPr>
              <w:jc w:val="left"/>
            </w:pPr>
            <w:r>
              <w:t>Wideband eigenvector feedback (WB eig.)</w:t>
            </w:r>
          </w:p>
        </w:tc>
        <w:tc>
          <w:tcPr>
            <w:tcW w:w="5400" w:type="dxa"/>
          </w:tcPr>
          <w:p w14:paraId="7AE4D8E0" w14:textId="77777777" w:rsidR="005B44E9" w:rsidRDefault="005B44E9" w:rsidP="005B44E9">
            <w:r>
              <w:t>8 * (2</w:t>
            </w:r>
            <w:r w:rsidR="00D52FD9">
              <w:t xml:space="preserve"> </w:t>
            </w:r>
            <w:r>
              <w:t>+</w:t>
            </w:r>
            <w:r w:rsidR="00D52FD9">
              <w:t xml:space="preserve"> </w:t>
            </w:r>
            <w:r>
              <w:t>3) = 40</w:t>
            </w:r>
          </w:p>
        </w:tc>
      </w:tr>
      <w:tr w:rsidR="005B44E9" w14:paraId="3E5DBC91" w14:textId="77777777" w:rsidTr="009E219A">
        <w:tc>
          <w:tcPr>
            <w:tcW w:w="2875" w:type="dxa"/>
          </w:tcPr>
          <w:p w14:paraId="7CADF09C" w14:textId="77777777" w:rsidR="005B44E9" w:rsidRDefault="005B44E9" w:rsidP="009F63BC">
            <w:pPr>
              <w:jc w:val="left"/>
            </w:pPr>
            <w:r>
              <w:t xml:space="preserve">Wideband eigenvector feedback </w:t>
            </w:r>
            <w:r w:rsidR="009F63BC">
              <w:t xml:space="preserve">using W1 </w:t>
            </w:r>
            <w:r>
              <w:t>(WB W1 eig.)</w:t>
            </w:r>
          </w:p>
        </w:tc>
        <w:tc>
          <w:tcPr>
            <w:tcW w:w="5400" w:type="dxa"/>
          </w:tcPr>
          <w:p w14:paraId="37F49DFD" w14:textId="77777777" w:rsidR="005B44E9" w:rsidRDefault="005B44E9" w:rsidP="005B44E9">
            <w:r>
              <w:t>2 + 6 * (2</w:t>
            </w:r>
            <w:r w:rsidR="00D52FD9">
              <w:t xml:space="preserve"> </w:t>
            </w:r>
            <w:r>
              <w:t>+</w:t>
            </w:r>
            <w:r w:rsidR="00D52FD9">
              <w:t xml:space="preserve"> </w:t>
            </w:r>
            <w:r>
              <w:t xml:space="preserve">3) = 32 </w:t>
            </w:r>
          </w:p>
        </w:tc>
      </w:tr>
    </w:tbl>
    <w:p w14:paraId="2D17CF5C" w14:textId="77777777" w:rsidR="00584140" w:rsidRDefault="00584140" w:rsidP="00584140"/>
    <w:p w14:paraId="057AB73F" w14:textId="77777777" w:rsidR="005B44E9" w:rsidRDefault="005B44E9" w:rsidP="005B44E9">
      <w:pPr>
        <w:keepNext/>
        <w:jc w:val="center"/>
      </w:pPr>
      <w:r>
        <w:rPr>
          <w:noProof/>
          <w:lang w:eastAsia="zh-CN"/>
        </w:rPr>
        <w:drawing>
          <wp:inline distT="0" distB="0" distL="0" distR="0" wp14:anchorId="3A189A76" wp14:editId="5CEA637A">
            <wp:extent cx="3191256" cy="2386584"/>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1256" cy="2386584"/>
                    </a:xfrm>
                    <a:prstGeom prst="rect">
                      <a:avLst/>
                    </a:prstGeom>
                  </pic:spPr>
                </pic:pic>
              </a:graphicData>
            </a:graphic>
          </wp:inline>
        </w:drawing>
      </w:r>
    </w:p>
    <w:p w14:paraId="4FD48F8D" w14:textId="77777777" w:rsidR="005B44E9" w:rsidRDefault="005B44E9" w:rsidP="005B44E9">
      <w:pPr>
        <w:pStyle w:val="Caption"/>
      </w:pPr>
      <w:bookmarkStart w:id="5" w:name="_Ref473717696"/>
      <w:r>
        <w:t xml:space="preserve">Figure </w:t>
      </w:r>
      <w:r>
        <w:fldChar w:fldCharType="begin"/>
      </w:r>
      <w:r>
        <w:instrText xml:space="preserve"> SEQ Figure \* ARABIC </w:instrText>
      </w:r>
      <w:r>
        <w:fldChar w:fldCharType="separate"/>
      </w:r>
      <w:r w:rsidR="00D561F9">
        <w:rPr>
          <w:noProof/>
        </w:rPr>
        <w:t>1</w:t>
      </w:r>
      <w:r>
        <w:fldChar w:fldCharType="end"/>
      </w:r>
      <w:bookmarkEnd w:id="5"/>
      <w:r>
        <w:t>. Average cell throughput.</w:t>
      </w:r>
    </w:p>
    <w:p w14:paraId="2893FFBF" w14:textId="77777777" w:rsidR="00A174B4" w:rsidRDefault="00A174B4" w:rsidP="00584140"/>
    <w:p w14:paraId="50C70EF6" w14:textId="77777777" w:rsidR="009A4C89" w:rsidRDefault="009A4C89" w:rsidP="009A4C89">
      <w:pPr>
        <w:pStyle w:val="Caption"/>
        <w:keepNext/>
      </w:pPr>
      <w:bookmarkStart w:id="6" w:name="_Ref465680349"/>
      <w:r>
        <w:t xml:space="preserve">Table </w:t>
      </w:r>
      <w:r>
        <w:fldChar w:fldCharType="begin"/>
      </w:r>
      <w:r>
        <w:instrText xml:space="preserve"> SEQ Table \* ARABIC </w:instrText>
      </w:r>
      <w:r>
        <w:fldChar w:fldCharType="separate"/>
      </w:r>
      <w:r w:rsidR="00D561F9">
        <w:rPr>
          <w:noProof/>
        </w:rPr>
        <w:t>2</w:t>
      </w:r>
      <w:r>
        <w:fldChar w:fldCharType="end"/>
      </w:r>
      <w:bookmarkEnd w:id="6"/>
      <w:r>
        <w:t>. Simulation parameters.</w:t>
      </w:r>
    </w:p>
    <w:tbl>
      <w:tblPr>
        <w:tblStyle w:val="TableGrid"/>
        <w:tblW w:w="0" w:type="auto"/>
        <w:tblLook w:val="04A0" w:firstRow="1" w:lastRow="0" w:firstColumn="1" w:lastColumn="0" w:noHBand="0" w:noVBand="1"/>
      </w:tblPr>
      <w:tblGrid>
        <w:gridCol w:w="4148"/>
        <w:gridCol w:w="4148"/>
      </w:tblGrid>
      <w:tr w:rsidR="006F7016" w14:paraId="2C28A4D8" w14:textId="77777777" w:rsidTr="006F7016">
        <w:tc>
          <w:tcPr>
            <w:tcW w:w="4148" w:type="dxa"/>
            <w:shd w:val="clear" w:color="auto" w:fill="BFBFBF" w:themeFill="background1" w:themeFillShade="BF"/>
          </w:tcPr>
          <w:p w14:paraId="7F95E5A1" w14:textId="77777777" w:rsidR="006F7016" w:rsidRDefault="006F7016" w:rsidP="003877D8">
            <w:r>
              <w:t>parameter</w:t>
            </w:r>
          </w:p>
        </w:tc>
        <w:tc>
          <w:tcPr>
            <w:tcW w:w="4148" w:type="dxa"/>
            <w:shd w:val="clear" w:color="auto" w:fill="BFBFBF" w:themeFill="background1" w:themeFillShade="BF"/>
          </w:tcPr>
          <w:p w14:paraId="349751C4" w14:textId="77777777" w:rsidR="006F7016" w:rsidRDefault="006F7016" w:rsidP="003877D8">
            <w:r>
              <w:t>value</w:t>
            </w:r>
          </w:p>
        </w:tc>
      </w:tr>
      <w:tr w:rsidR="006F7016" w14:paraId="1EFD0E93" w14:textId="77777777" w:rsidTr="006F7016">
        <w:tc>
          <w:tcPr>
            <w:tcW w:w="4148" w:type="dxa"/>
          </w:tcPr>
          <w:p w14:paraId="2E48C7BD" w14:textId="77777777" w:rsidR="006F7016" w:rsidRDefault="00717492" w:rsidP="00DE4FA8">
            <w:pPr>
              <w:jc w:val="left"/>
            </w:pPr>
            <w:r>
              <w:t>scenario</w:t>
            </w:r>
          </w:p>
        </w:tc>
        <w:tc>
          <w:tcPr>
            <w:tcW w:w="4148" w:type="dxa"/>
          </w:tcPr>
          <w:p w14:paraId="39236C43" w14:textId="77777777" w:rsidR="006F7016" w:rsidRDefault="00717492" w:rsidP="00DE4FA8">
            <w:pPr>
              <w:jc w:val="left"/>
            </w:pPr>
            <w:r w:rsidRPr="00C4399B">
              <w:rPr>
                <w:kern w:val="24"/>
                <w:szCs w:val="21"/>
                <w:lang w:val="en-GB"/>
              </w:rPr>
              <w:t>Urban macro</w:t>
            </w:r>
            <w:r w:rsidR="007B66A0">
              <w:rPr>
                <w:kern w:val="24"/>
                <w:szCs w:val="21"/>
                <w:lang w:val="en-GB"/>
              </w:rPr>
              <w:fldChar w:fldCharType="begin"/>
            </w:r>
            <w:r w:rsidR="007B66A0">
              <w:rPr>
                <w:kern w:val="24"/>
                <w:szCs w:val="21"/>
                <w:lang w:val="en-GB"/>
              </w:rPr>
              <w:instrText xml:space="preserve"> REF _Ref470697392 \r \h </w:instrText>
            </w:r>
            <w:r w:rsidR="00DE4FA8">
              <w:rPr>
                <w:kern w:val="24"/>
                <w:szCs w:val="21"/>
                <w:lang w:val="en-GB"/>
              </w:rPr>
              <w:instrText xml:space="preserve"> \* MERGEFORMAT </w:instrText>
            </w:r>
            <w:r w:rsidR="007B66A0">
              <w:rPr>
                <w:kern w:val="24"/>
                <w:szCs w:val="21"/>
                <w:lang w:val="en-GB"/>
              </w:rPr>
            </w:r>
            <w:r w:rsidR="007B66A0">
              <w:rPr>
                <w:kern w:val="24"/>
                <w:szCs w:val="21"/>
                <w:lang w:val="en-GB"/>
              </w:rPr>
              <w:fldChar w:fldCharType="separate"/>
            </w:r>
            <w:r w:rsidR="00D561F9">
              <w:rPr>
                <w:kern w:val="24"/>
                <w:szCs w:val="21"/>
                <w:cs/>
                <w:lang w:val="en-GB"/>
              </w:rPr>
              <w:t>‎</w:t>
            </w:r>
            <w:r w:rsidR="00D561F9">
              <w:rPr>
                <w:kern w:val="24"/>
                <w:szCs w:val="21"/>
                <w:lang w:val="en-GB"/>
              </w:rPr>
              <w:t>[7]</w:t>
            </w:r>
            <w:r w:rsidR="007B66A0">
              <w:rPr>
                <w:kern w:val="24"/>
                <w:szCs w:val="21"/>
                <w:lang w:val="en-GB"/>
              </w:rPr>
              <w:fldChar w:fldCharType="end"/>
            </w:r>
            <w:r w:rsidR="007B66A0">
              <w:rPr>
                <w:kern w:val="24"/>
                <w:szCs w:val="21"/>
                <w:lang w:val="en-GB"/>
              </w:rPr>
              <w:fldChar w:fldCharType="begin"/>
            </w:r>
            <w:r w:rsidR="007B66A0">
              <w:rPr>
                <w:kern w:val="24"/>
                <w:szCs w:val="21"/>
                <w:lang w:val="en-GB"/>
              </w:rPr>
              <w:instrText xml:space="preserve"> REF _Ref470697394 \r \h </w:instrText>
            </w:r>
            <w:r w:rsidR="00DE4FA8">
              <w:rPr>
                <w:kern w:val="24"/>
                <w:szCs w:val="21"/>
                <w:lang w:val="en-GB"/>
              </w:rPr>
              <w:instrText xml:space="preserve"> \* MERGEFORMAT </w:instrText>
            </w:r>
            <w:r w:rsidR="007B66A0">
              <w:rPr>
                <w:kern w:val="24"/>
                <w:szCs w:val="21"/>
                <w:lang w:val="en-GB"/>
              </w:rPr>
            </w:r>
            <w:r w:rsidR="007B66A0">
              <w:rPr>
                <w:kern w:val="24"/>
                <w:szCs w:val="21"/>
                <w:lang w:val="en-GB"/>
              </w:rPr>
              <w:fldChar w:fldCharType="separate"/>
            </w:r>
            <w:r w:rsidR="00D561F9">
              <w:rPr>
                <w:kern w:val="24"/>
                <w:szCs w:val="21"/>
                <w:cs/>
                <w:lang w:val="en-GB"/>
              </w:rPr>
              <w:t>‎</w:t>
            </w:r>
            <w:r w:rsidR="00D561F9">
              <w:rPr>
                <w:kern w:val="24"/>
                <w:szCs w:val="21"/>
                <w:lang w:val="en-GB"/>
              </w:rPr>
              <w:t>[8]</w:t>
            </w:r>
            <w:r w:rsidR="007B66A0">
              <w:rPr>
                <w:kern w:val="24"/>
                <w:szCs w:val="21"/>
                <w:lang w:val="en-GB"/>
              </w:rPr>
              <w:fldChar w:fldCharType="end"/>
            </w:r>
            <w:r w:rsidR="007869A6">
              <w:rPr>
                <w:kern w:val="24"/>
                <w:szCs w:val="21"/>
                <w:lang w:val="en-GB"/>
              </w:rPr>
              <w:t>, 200 m ISD</w:t>
            </w:r>
          </w:p>
        </w:tc>
      </w:tr>
      <w:tr w:rsidR="006F7016" w14:paraId="591F2CFF" w14:textId="77777777" w:rsidTr="006F7016">
        <w:tc>
          <w:tcPr>
            <w:tcW w:w="4148" w:type="dxa"/>
          </w:tcPr>
          <w:p w14:paraId="6D24D4C6" w14:textId="77777777" w:rsidR="006F7016" w:rsidRDefault="00717492" w:rsidP="00DE4FA8">
            <w:pPr>
              <w:jc w:val="left"/>
            </w:pPr>
            <w:r w:rsidRPr="00C4399B">
              <w:rPr>
                <w:kern w:val="24"/>
                <w:szCs w:val="21"/>
                <w:lang w:val="en-GB"/>
              </w:rPr>
              <w:t>carrier frequency</w:t>
            </w:r>
          </w:p>
        </w:tc>
        <w:tc>
          <w:tcPr>
            <w:tcW w:w="4148" w:type="dxa"/>
          </w:tcPr>
          <w:p w14:paraId="390392B0" w14:textId="77777777" w:rsidR="006F7016" w:rsidRDefault="00717492" w:rsidP="00DE4FA8">
            <w:pPr>
              <w:jc w:val="left"/>
            </w:pPr>
            <w:r w:rsidRPr="00C4399B">
              <w:rPr>
                <w:kern w:val="24"/>
                <w:szCs w:val="21"/>
                <w:lang w:val="en-GB"/>
              </w:rPr>
              <w:t>30</w:t>
            </w:r>
            <w:r w:rsidR="00EE25C5">
              <w:rPr>
                <w:kern w:val="24"/>
                <w:szCs w:val="21"/>
                <w:lang w:val="en-GB"/>
              </w:rPr>
              <w:t xml:space="preserve"> </w:t>
            </w:r>
            <w:r w:rsidRPr="00C4399B">
              <w:rPr>
                <w:kern w:val="24"/>
                <w:szCs w:val="21"/>
                <w:lang w:val="en-GB"/>
              </w:rPr>
              <w:t>GHz</w:t>
            </w:r>
          </w:p>
        </w:tc>
      </w:tr>
      <w:tr w:rsidR="0008368E" w14:paraId="4722C8D9" w14:textId="77777777" w:rsidTr="006F7016">
        <w:tc>
          <w:tcPr>
            <w:tcW w:w="4148" w:type="dxa"/>
          </w:tcPr>
          <w:p w14:paraId="1C0E2248" w14:textId="77777777" w:rsidR="0008368E" w:rsidRPr="00C4399B" w:rsidRDefault="0008368E" w:rsidP="00DE4FA8">
            <w:pPr>
              <w:jc w:val="left"/>
              <w:rPr>
                <w:kern w:val="24"/>
                <w:szCs w:val="21"/>
                <w:lang w:val="en-GB"/>
              </w:rPr>
            </w:pPr>
            <w:r>
              <w:rPr>
                <w:kern w:val="24"/>
                <w:szCs w:val="21"/>
                <w:lang w:val="en-GB"/>
              </w:rPr>
              <w:lastRenderedPageBreak/>
              <w:t>System bandwidth</w:t>
            </w:r>
          </w:p>
        </w:tc>
        <w:tc>
          <w:tcPr>
            <w:tcW w:w="4148" w:type="dxa"/>
          </w:tcPr>
          <w:p w14:paraId="6545F05B" w14:textId="77777777" w:rsidR="0008368E" w:rsidRPr="00C4399B" w:rsidRDefault="0008368E" w:rsidP="00DE4FA8">
            <w:pPr>
              <w:jc w:val="left"/>
              <w:rPr>
                <w:kern w:val="24"/>
                <w:szCs w:val="21"/>
                <w:lang w:val="en-GB"/>
              </w:rPr>
            </w:pPr>
            <w:r>
              <w:rPr>
                <w:kern w:val="24"/>
                <w:szCs w:val="21"/>
                <w:lang w:val="en-GB"/>
              </w:rPr>
              <w:t>40 MHz</w:t>
            </w:r>
          </w:p>
        </w:tc>
      </w:tr>
      <w:tr w:rsidR="0008368E" w14:paraId="68B127B9" w14:textId="77777777" w:rsidTr="006F7016">
        <w:tc>
          <w:tcPr>
            <w:tcW w:w="4148" w:type="dxa"/>
          </w:tcPr>
          <w:p w14:paraId="1C7FF4FE" w14:textId="77777777" w:rsidR="0008368E" w:rsidRDefault="0008368E" w:rsidP="00DE4FA8">
            <w:pPr>
              <w:jc w:val="left"/>
              <w:rPr>
                <w:kern w:val="24"/>
                <w:szCs w:val="21"/>
                <w:lang w:val="en-GB"/>
              </w:rPr>
            </w:pPr>
            <w:r>
              <w:rPr>
                <w:kern w:val="24"/>
                <w:szCs w:val="21"/>
                <w:lang w:val="en-GB"/>
              </w:rPr>
              <w:t>Subcarrier spacing</w:t>
            </w:r>
          </w:p>
        </w:tc>
        <w:tc>
          <w:tcPr>
            <w:tcW w:w="4148" w:type="dxa"/>
          </w:tcPr>
          <w:p w14:paraId="73E664AD" w14:textId="77777777" w:rsidR="0008368E" w:rsidRDefault="0008368E" w:rsidP="00DE4FA8">
            <w:pPr>
              <w:jc w:val="left"/>
              <w:rPr>
                <w:kern w:val="24"/>
                <w:szCs w:val="21"/>
                <w:lang w:val="en-GB"/>
              </w:rPr>
            </w:pPr>
            <w:r>
              <w:rPr>
                <w:kern w:val="24"/>
                <w:szCs w:val="21"/>
                <w:lang w:val="en-GB"/>
              </w:rPr>
              <w:t>60 kHz</w:t>
            </w:r>
          </w:p>
        </w:tc>
      </w:tr>
      <w:tr w:rsidR="00717492" w14:paraId="29B12E36" w14:textId="77777777" w:rsidTr="006F7016">
        <w:tc>
          <w:tcPr>
            <w:tcW w:w="4148" w:type="dxa"/>
          </w:tcPr>
          <w:p w14:paraId="6F4DCD2E" w14:textId="77777777" w:rsidR="00717492" w:rsidRPr="00C4399B" w:rsidRDefault="009A4C89" w:rsidP="00DE4FA8">
            <w:pPr>
              <w:jc w:val="left"/>
              <w:rPr>
                <w:kern w:val="24"/>
                <w:szCs w:val="21"/>
                <w:lang w:val="en-GB"/>
              </w:rPr>
            </w:pPr>
            <w:r>
              <w:rPr>
                <w:kern w:val="24"/>
                <w:szCs w:val="21"/>
                <w:lang w:val="en-GB"/>
              </w:rPr>
              <w:t>TRP antenna configuration, (M,N,P,Mg,Ng)</w:t>
            </w:r>
          </w:p>
        </w:tc>
        <w:tc>
          <w:tcPr>
            <w:tcW w:w="4148" w:type="dxa"/>
          </w:tcPr>
          <w:p w14:paraId="16C549E9" w14:textId="77777777" w:rsidR="006374E3" w:rsidRPr="00C4399B" w:rsidRDefault="009A4C89" w:rsidP="00DE4FA8">
            <w:pPr>
              <w:jc w:val="left"/>
              <w:rPr>
                <w:kern w:val="24"/>
                <w:szCs w:val="21"/>
                <w:lang w:val="en-GB"/>
              </w:rPr>
            </w:pPr>
            <w:r>
              <w:rPr>
                <w:kern w:val="24"/>
                <w:szCs w:val="21"/>
                <w:lang w:val="en-GB"/>
              </w:rPr>
              <w:t>(4,8,2,2,2)</w:t>
            </w:r>
          </w:p>
        </w:tc>
      </w:tr>
      <w:tr w:rsidR="009A4C89" w14:paraId="58BE8137" w14:textId="77777777" w:rsidTr="006F7016">
        <w:tc>
          <w:tcPr>
            <w:tcW w:w="4148" w:type="dxa"/>
          </w:tcPr>
          <w:p w14:paraId="0D469ACC" w14:textId="77777777" w:rsidR="009A4C89" w:rsidRDefault="009A4C89" w:rsidP="00DE4FA8">
            <w:pPr>
              <w:jc w:val="left"/>
              <w:rPr>
                <w:kern w:val="24"/>
                <w:szCs w:val="21"/>
                <w:lang w:val="en-GB"/>
              </w:rPr>
            </w:pPr>
            <w:r>
              <w:rPr>
                <w:kern w:val="24"/>
                <w:szCs w:val="21"/>
                <w:lang w:val="en-GB"/>
              </w:rPr>
              <w:t>UE antenna configuration, (M,N,P,Mg,Ng)</w:t>
            </w:r>
          </w:p>
        </w:tc>
        <w:tc>
          <w:tcPr>
            <w:tcW w:w="4148" w:type="dxa"/>
          </w:tcPr>
          <w:p w14:paraId="68AD3B08" w14:textId="77777777" w:rsidR="003815C8" w:rsidRDefault="009A4C89" w:rsidP="00DE4FA8">
            <w:pPr>
              <w:jc w:val="left"/>
              <w:rPr>
                <w:kern w:val="24"/>
                <w:szCs w:val="21"/>
                <w:lang w:val="en-GB"/>
              </w:rPr>
            </w:pPr>
            <w:r>
              <w:rPr>
                <w:kern w:val="24"/>
                <w:szCs w:val="21"/>
                <w:lang w:val="en-GB"/>
              </w:rPr>
              <w:t>(2,4,2,1,2)</w:t>
            </w:r>
            <w:r w:rsidR="009121D1">
              <w:t xml:space="preserve"> </w:t>
            </w:r>
            <w:r w:rsidR="009121D1" w:rsidRPr="009121D1">
              <w:rPr>
                <w:kern w:val="24"/>
                <w:szCs w:val="21"/>
                <w:lang w:val="en-GB"/>
              </w:rPr>
              <w:t>Θmg,ng=90; Ω0,1=Ω0,0+180</w:t>
            </w:r>
          </w:p>
        </w:tc>
      </w:tr>
      <w:tr w:rsidR="00717492" w:rsidRPr="00391490" w14:paraId="45C2BD22" w14:textId="77777777" w:rsidTr="006F7016">
        <w:tc>
          <w:tcPr>
            <w:tcW w:w="4148" w:type="dxa"/>
          </w:tcPr>
          <w:p w14:paraId="1F6FF69F" w14:textId="77777777" w:rsidR="00717492" w:rsidRDefault="00717492" w:rsidP="00DE4FA8">
            <w:pPr>
              <w:jc w:val="left"/>
              <w:rPr>
                <w:kern w:val="24"/>
                <w:szCs w:val="21"/>
                <w:lang w:val="en-GB"/>
              </w:rPr>
            </w:pPr>
            <w:r>
              <w:rPr>
                <w:kern w:val="24"/>
                <w:szCs w:val="21"/>
                <w:lang w:val="en-GB"/>
              </w:rPr>
              <w:t>Number of TXRUs</w:t>
            </w:r>
          </w:p>
        </w:tc>
        <w:tc>
          <w:tcPr>
            <w:tcW w:w="4148" w:type="dxa"/>
          </w:tcPr>
          <w:p w14:paraId="2554EADC" w14:textId="77777777" w:rsidR="00717492" w:rsidRPr="00717492" w:rsidRDefault="00717492" w:rsidP="00DE4FA8">
            <w:pPr>
              <w:jc w:val="left"/>
              <w:rPr>
                <w:kern w:val="24"/>
                <w:szCs w:val="21"/>
                <w:lang w:val="it-IT"/>
              </w:rPr>
            </w:pPr>
            <w:r w:rsidRPr="00717492">
              <w:rPr>
                <w:kern w:val="24"/>
                <w:szCs w:val="21"/>
                <w:lang w:val="it-IT"/>
              </w:rPr>
              <w:t>1 TXRU per panel per polarization</w:t>
            </w:r>
          </w:p>
        </w:tc>
      </w:tr>
      <w:tr w:rsidR="009A4C89" w:rsidRPr="009A4C89" w14:paraId="321E192D" w14:textId="77777777" w:rsidTr="006F7016">
        <w:tc>
          <w:tcPr>
            <w:tcW w:w="4148" w:type="dxa"/>
          </w:tcPr>
          <w:p w14:paraId="5ADE9891" w14:textId="77777777" w:rsidR="009A4C89" w:rsidRDefault="009A4C89" w:rsidP="00DE4FA8">
            <w:pPr>
              <w:jc w:val="left"/>
              <w:rPr>
                <w:kern w:val="24"/>
                <w:szCs w:val="21"/>
                <w:lang w:val="en-GB"/>
              </w:rPr>
            </w:pPr>
            <w:r>
              <w:rPr>
                <w:kern w:val="24"/>
                <w:szCs w:val="21"/>
                <w:lang w:val="en-GB"/>
              </w:rPr>
              <w:t>Analog precoding</w:t>
            </w:r>
          </w:p>
        </w:tc>
        <w:tc>
          <w:tcPr>
            <w:tcW w:w="4148" w:type="dxa"/>
          </w:tcPr>
          <w:p w14:paraId="288FDD00" w14:textId="77777777" w:rsidR="009A4C89" w:rsidRPr="009A4C89" w:rsidRDefault="00DE4FA8" w:rsidP="00DE4FA8">
            <w:pPr>
              <w:jc w:val="left"/>
              <w:rPr>
                <w:kern w:val="24"/>
                <w:szCs w:val="21"/>
              </w:rPr>
            </w:pPr>
            <w:r>
              <w:rPr>
                <w:kern w:val="24"/>
                <w:szCs w:val="21"/>
                <w:lang w:val="en-GB"/>
              </w:rPr>
              <w:t>Per panel h</w:t>
            </w:r>
            <w:r w:rsidR="009A4C89">
              <w:rPr>
                <w:kern w:val="24"/>
                <w:szCs w:val="21"/>
                <w:lang w:val="en-GB"/>
              </w:rPr>
              <w:t xml:space="preserve">orizontal and vertical DFT precoding </w:t>
            </w:r>
          </w:p>
        </w:tc>
      </w:tr>
      <w:tr w:rsidR="003815C8" w:rsidRPr="00717492" w14:paraId="7DBC77A4" w14:textId="77777777" w:rsidTr="006F7016">
        <w:tc>
          <w:tcPr>
            <w:tcW w:w="4148" w:type="dxa"/>
          </w:tcPr>
          <w:p w14:paraId="47B89476" w14:textId="77777777" w:rsidR="003815C8" w:rsidRDefault="003815C8" w:rsidP="00DE4FA8">
            <w:pPr>
              <w:jc w:val="left"/>
              <w:rPr>
                <w:kern w:val="24"/>
                <w:szCs w:val="21"/>
                <w:lang w:val="en-GB"/>
              </w:rPr>
            </w:pPr>
            <w:r>
              <w:rPr>
                <w:kern w:val="24"/>
                <w:szCs w:val="21"/>
                <w:lang w:val="en-GB"/>
              </w:rPr>
              <w:t>Number of UEs per cell</w:t>
            </w:r>
          </w:p>
        </w:tc>
        <w:tc>
          <w:tcPr>
            <w:tcW w:w="4148" w:type="dxa"/>
          </w:tcPr>
          <w:p w14:paraId="0F2446CA" w14:textId="77777777" w:rsidR="003815C8" w:rsidRDefault="003815C8" w:rsidP="00DE4FA8">
            <w:pPr>
              <w:jc w:val="left"/>
              <w:rPr>
                <w:kern w:val="24"/>
                <w:szCs w:val="21"/>
                <w:lang w:val="en-GB"/>
              </w:rPr>
            </w:pPr>
            <w:r>
              <w:rPr>
                <w:kern w:val="24"/>
                <w:szCs w:val="21"/>
                <w:lang w:val="en-GB"/>
              </w:rPr>
              <w:t>10</w:t>
            </w:r>
          </w:p>
        </w:tc>
      </w:tr>
      <w:tr w:rsidR="000338A1" w:rsidRPr="00717492" w14:paraId="75570B0E" w14:textId="77777777" w:rsidTr="006F7016">
        <w:tc>
          <w:tcPr>
            <w:tcW w:w="4148" w:type="dxa"/>
          </w:tcPr>
          <w:p w14:paraId="4246BAA0" w14:textId="77777777" w:rsidR="000338A1" w:rsidRDefault="000338A1" w:rsidP="00DE4FA8">
            <w:pPr>
              <w:jc w:val="left"/>
              <w:rPr>
                <w:kern w:val="24"/>
                <w:szCs w:val="21"/>
                <w:lang w:val="en-GB"/>
              </w:rPr>
            </w:pPr>
            <w:r>
              <w:rPr>
                <w:kern w:val="24"/>
                <w:szCs w:val="21"/>
                <w:lang w:val="en-GB"/>
              </w:rPr>
              <w:t>MIMO scheme</w:t>
            </w:r>
          </w:p>
        </w:tc>
        <w:tc>
          <w:tcPr>
            <w:tcW w:w="4148" w:type="dxa"/>
          </w:tcPr>
          <w:p w14:paraId="2E726345" w14:textId="77777777" w:rsidR="000338A1" w:rsidRDefault="004B78EE" w:rsidP="00DE4FA8">
            <w:pPr>
              <w:jc w:val="left"/>
              <w:rPr>
                <w:kern w:val="24"/>
                <w:szCs w:val="21"/>
                <w:lang w:val="en-GB"/>
              </w:rPr>
            </w:pPr>
            <w:r>
              <w:rPr>
                <w:kern w:val="24"/>
                <w:szCs w:val="21"/>
                <w:lang w:val="en-GB"/>
              </w:rPr>
              <w:t>M</w:t>
            </w:r>
            <w:r w:rsidR="000338A1">
              <w:rPr>
                <w:kern w:val="24"/>
                <w:szCs w:val="21"/>
                <w:lang w:val="en-GB"/>
              </w:rPr>
              <w:t>U-MIMO</w:t>
            </w:r>
          </w:p>
        </w:tc>
      </w:tr>
      <w:tr w:rsidR="003815C8" w:rsidRPr="00717492" w14:paraId="068484F1" w14:textId="77777777" w:rsidTr="006F7016">
        <w:tc>
          <w:tcPr>
            <w:tcW w:w="4148" w:type="dxa"/>
          </w:tcPr>
          <w:p w14:paraId="275012BF" w14:textId="77777777" w:rsidR="003815C8" w:rsidRDefault="003815C8" w:rsidP="00DE4FA8">
            <w:pPr>
              <w:jc w:val="left"/>
              <w:rPr>
                <w:kern w:val="24"/>
                <w:szCs w:val="21"/>
                <w:lang w:val="en-GB"/>
              </w:rPr>
            </w:pPr>
            <w:r>
              <w:rPr>
                <w:kern w:val="24"/>
                <w:szCs w:val="21"/>
                <w:lang w:val="en-GB"/>
              </w:rPr>
              <w:t>UE receiver</w:t>
            </w:r>
          </w:p>
        </w:tc>
        <w:tc>
          <w:tcPr>
            <w:tcW w:w="4148" w:type="dxa"/>
          </w:tcPr>
          <w:p w14:paraId="45EBEA33" w14:textId="77777777" w:rsidR="003815C8" w:rsidRDefault="003815C8" w:rsidP="00DE4FA8">
            <w:pPr>
              <w:jc w:val="left"/>
              <w:rPr>
                <w:kern w:val="24"/>
                <w:szCs w:val="21"/>
                <w:lang w:val="en-GB"/>
              </w:rPr>
            </w:pPr>
            <w:r>
              <w:rPr>
                <w:kern w:val="24"/>
                <w:szCs w:val="21"/>
                <w:lang w:val="en-GB"/>
              </w:rPr>
              <w:t>MMSE</w:t>
            </w:r>
            <w:r w:rsidR="006564BD">
              <w:rPr>
                <w:kern w:val="24"/>
                <w:szCs w:val="21"/>
                <w:lang w:val="en-GB"/>
              </w:rPr>
              <w:t>-IRC</w:t>
            </w:r>
          </w:p>
        </w:tc>
      </w:tr>
      <w:tr w:rsidR="000338A1" w:rsidRPr="00717492" w14:paraId="79B649CD" w14:textId="77777777" w:rsidTr="006F7016">
        <w:tc>
          <w:tcPr>
            <w:tcW w:w="4148" w:type="dxa"/>
          </w:tcPr>
          <w:p w14:paraId="24ECBFEF" w14:textId="77777777" w:rsidR="000338A1" w:rsidRDefault="000338A1" w:rsidP="00DE4FA8">
            <w:pPr>
              <w:jc w:val="left"/>
              <w:rPr>
                <w:kern w:val="24"/>
                <w:szCs w:val="21"/>
                <w:lang w:val="en-GB"/>
              </w:rPr>
            </w:pPr>
            <w:r>
              <w:rPr>
                <w:kern w:val="24"/>
                <w:szCs w:val="21"/>
                <w:lang w:val="en-GB"/>
              </w:rPr>
              <w:t>scheduling</w:t>
            </w:r>
          </w:p>
        </w:tc>
        <w:tc>
          <w:tcPr>
            <w:tcW w:w="4148" w:type="dxa"/>
          </w:tcPr>
          <w:p w14:paraId="298BF803" w14:textId="77777777" w:rsidR="000338A1" w:rsidRDefault="004B78EE" w:rsidP="00DE4FA8">
            <w:pPr>
              <w:jc w:val="left"/>
              <w:rPr>
                <w:kern w:val="24"/>
                <w:szCs w:val="21"/>
                <w:lang w:val="en-GB"/>
              </w:rPr>
            </w:pPr>
            <w:r>
              <w:rPr>
                <w:kern w:val="24"/>
                <w:szCs w:val="21"/>
                <w:lang w:val="en-GB"/>
              </w:rPr>
              <w:t>PF</w:t>
            </w:r>
          </w:p>
        </w:tc>
      </w:tr>
      <w:tr w:rsidR="003815C8" w:rsidRPr="00717492" w14:paraId="63D7BAD8" w14:textId="77777777" w:rsidTr="006F7016">
        <w:tc>
          <w:tcPr>
            <w:tcW w:w="4148" w:type="dxa"/>
          </w:tcPr>
          <w:p w14:paraId="613A3EF2" w14:textId="77777777" w:rsidR="003815C8" w:rsidRDefault="003815C8" w:rsidP="00DE4FA8">
            <w:pPr>
              <w:jc w:val="left"/>
              <w:rPr>
                <w:kern w:val="24"/>
                <w:szCs w:val="21"/>
                <w:lang w:val="en-GB"/>
              </w:rPr>
            </w:pPr>
            <w:r>
              <w:rPr>
                <w:kern w:val="24"/>
                <w:szCs w:val="21"/>
                <w:lang w:val="en-GB"/>
              </w:rPr>
              <w:t>Traffic model</w:t>
            </w:r>
          </w:p>
        </w:tc>
        <w:tc>
          <w:tcPr>
            <w:tcW w:w="4148" w:type="dxa"/>
          </w:tcPr>
          <w:p w14:paraId="128DC553" w14:textId="77777777" w:rsidR="003815C8" w:rsidRDefault="003815C8" w:rsidP="00DE4FA8">
            <w:pPr>
              <w:jc w:val="left"/>
              <w:rPr>
                <w:kern w:val="24"/>
                <w:szCs w:val="21"/>
                <w:lang w:val="en-GB"/>
              </w:rPr>
            </w:pPr>
            <w:r>
              <w:rPr>
                <w:kern w:val="24"/>
                <w:szCs w:val="21"/>
                <w:lang w:val="en-GB"/>
              </w:rPr>
              <w:t>Full buffer</w:t>
            </w:r>
          </w:p>
        </w:tc>
      </w:tr>
    </w:tbl>
    <w:p w14:paraId="6627EB6D" w14:textId="77777777" w:rsidR="002367DD" w:rsidRDefault="002367DD" w:rsidP="00F76A15">
      <w:pPr>
        <w:keepNext/>
        <w:jc w:val="center"/>
      </w:pPr>
    </w:p>
    <w:p w14:paraId="247F9136" w14:textId="77777777" w:rsidR="00284961" w:rsidRDefault="00284961" w:rsidP="00284961">
      <w:pPr>
        <w:pStyle w:val="Heading1"/>
      </w:pPr>
      <w:r>
        <w:t>Conclusions</w:t>
      </w:r>
    </w:p>
    <w:p w14:paraId="4CF28B93" w14:textId="029D906B" w:rsidR="0046653A" w:rsidRDefault="0046653A">
      <w:r>
        <w:t xml:space="preserve">In this paper, Type-II category 1 codebook based feedback and category 2 covariance based feedback was discussed arriving to following </w:t>
      </w:r>
      <w:r w:rsidR="00757FD8">
        <w:t xml:space="preserve">observation and </w:t>
      </w:r>
      <w:r>
        <w:t>proposals:</w:t>
      </w:r>
    </w:p>
    <w:p w14:paraId="71B9F963" w14:textId="2D550D2C" w:rsidR="00757FD8" w:rsidRPr="00391490" w:rsidRDefault="00757FD8">
      <w:pPr>
        <w:rPr>
          <w:rFonts w:ascii="Arial" w:hAnsi="Arial" w:cs="Arial"/>
          <w:sz w:val="20"/>
          <w:szCs w:val="20"/>
        </w:rPr>
      </w:pPr>
      <w:r w:rsidRPr="00391490">
        <w:rPr>
          <w:rFonts w:ascii="Arial" w:hAnsi="Arial" w:cs="Arial"/>
          <w:sz w:val="20"/>
          <w:szCs w:val="20"/>
          <w:lang w:val="en-GB" w:eastAsia="zh-CN"/>
        </w:rPr>
        <w:fldChar w:fldCharType="begin"/>
      </w:r>
      <w:r w:rsidRPr="00391490">
        <w:rPr>
          <w:rFonts w:ascii="Arial" w:hAnsi="Arial" w:cs="Arial"/>
          <w:sz w:val="20"/>
          <w:szCs w:val="20"/>
          <w:lang w:val="en-GB" w:eastAsia="zh-CN"/>
        </w:rPr>
        <w:instrText xml:space="preserve"> REF _Ref473897610 \h  \* MERGEFORMAT </w:instrText>
      </w:r>
      <w:r w:rsidRPr="00391490">
        <w:rPr>
          <w:rFonts w:ascii="Arial" w:hAnsi="Arial" w:cs="Arial"/>
          <w:sz w:val="20"/>
          <w:szCs w:val="20"/>
          <w:lang w:val="en-GB" w:eastAsia="zh-CN"/>
        </w:rPr>
      </w:r>
      <w:r w:rsidRPr="00391490">
        <w:rPr>
          <w:rFonts w:ascii="Arial" w:hAnsi="Arial" w:cs="Arial"/>
          <w:sz w:val="20"/>
          <w:szCs w:val="20"/>
          <w:lang w:val="en-GB" w:eastAsia="zh-CN"/>
        </w:rPr>
        <w:fldChar w:fldCharType="separate"/>
      </w:r>
      <w:r w:rsidRPr="00391490">
        <w:rPr>
          <w:rFonts w:ascii="Arial" w:hAnsi="Arial" w:cs="Arial"/>
          <w:b/>
          <w:bCs/>
          <w:sz w:val="20"/>
          <w:szCs w:val="20"/>
        </w:rPr>
        <w:t xml:space="preserve">Observation </w:t>
      </w:r>
      <w:r w:rsidRPr="00391490">
        <w:rPr>
          <w:rFonts w:ascii="Arial" w:hAnsi="Arial" w:cs="Arial"/>
          <w:b/>
          <w:bCs/>
          <w:noProof/>
          <w:sz w:val="20"/>
          <w:szCs w:val="20"/>
        </w:rPr>
        <w:t>1</w:t>
      </w:r>
      <w:r w:rsidRPr="00391490">
        <w:rPr>
          <w:rFonts w:ascii="Arial" w:hAnsi="Arial" w:cs="Arial"/>
          <w:b/>
          <w:bCs/>
          <w:sz w:val="20"/>
          <w:szCs w:val="20"/>
        </w:rPr>
        <w:t>: In the studied conditions, all feedback schemes have pretty similar performance and one unified solution could be investigated</w:t>
      </w:r>
      <w:r w:rsidRPr="00391490">
        <w:rPr>
          <w:rFonts w:ascii="Arial" w:hAnsi="Arial" w:cs="Arial"/>
          <w:sz w:val="20"/>
          <w:szCs w:val="20"/>
        </w:rPr>
        <w:t>.</w:t>
      </w:r>
      <w:r w:rsidRPr="00391490">
        <w:rPr>
          <w:rFonts w:ascii="Arial" w:hAnsi="Arial" w:cs="Arial"/>
          <w:sz w:val="20"/>
          <w:szCs w:val="20"/>
          <w:lang w:val="en-GB" w:eastAsia="zh-CN"/>
        </w:rPr>
        <w:fldChar w:fldCharType="end"/>
      </w:r>
    </w:p>
    <w:p w14:paraId="0FE160C5" w14:textId="77777777" w:rsidR="0046653A" w:rsidRPr="00391490" w:rsidRDefault="0046653A" w:rsidP="0046653A">
      <w:pPr>
        <w:pStyle w:val="Caption"/>
        <w:jc w:val="left"/>
        <w:rPr>
          <w:rFonts w:cs="Arial"/>
        </w:rPr>
      </w:pPr>
      <w:r w:rsidRPr="00391490">
        <w:rPr>
          <w:rFonts w:cs="Arial"/>
        </w:rPr>
        <w:t xml:space="preserve">Proposal 1: Strive to a unified codebook structure between type-I and Type-II feedback at least for the </w:t>
      </w:r>
      <m:oMath>
        <m:sSub>
          <m:sSubPr>
            <m:ctrlPr>
              <w:rPr>
                <w:rFonts w:ascii="Cambria Math" w:hAnsi="Cambria Math" w:cs="Arial"/>
                <w:i/>
              </w:rPr>
            </m:ctrlPr>
          </m:sSubPr>
          <m:e>
            <m:r>
              <m:rPr>
                <m:sty m:val="b"/>
              </m:rPr>
              <w:rPr>
                <w:rFonts w:ascii="Cambria Math" w:hAnsi="Cambria Math" w:cs="Arial"/>
              </w:rPr>
              <m:t>W</m:t>
            </m:r>
          </m:e>
          <m:sub>
            <m:r>
              <m:rPr>
                <m:sty m:val="bi"/>
              </m:rPr>
              <w:rPr>
                <w:rFonts w:ascii="Cambria Math" w:hAnsi="Cambria Math" w:cs="Arial"/>
              </w:rPr>
              <m:t>1</m:t>
            </m:r>
          </m:sub>
        </m:sSub>
      </m:oMath>
      <w:r w:rsidRPr="00391490">
        <w:rPr>
          <w:rFonts w:cs="Arial"/>
        </w:rPr>
        <w:t xml:space="preserve"> and low number of layers. </w:t>
      </w:r>
    </w:p>
    <w:p w14:paraId="544A1B4A" w14:textId="77777777" w:rsidR="0046653A" w:rsidRPr="00391490" w:rsidRDefault="0046653A" w:rsidP="0046653A">
      <w:pPr>
        <w:pStyle w:val="Caption"/>
        <w:jc w:val="left"/>
        <w:rPr>
          <w:rFonts w:cs="Arial"/>
        </w:rPr>
      </w:pPr>
      <w:r w:rsidRPr="00391490">
        <w:rPr>
          <w:rFonts w:cs="Arial"/>
        </w:rPr>
        <w:t>Proposal 2: Try to avoid standardization of different feedback methods and consider if differences between Type-I and Type-II feedback can be handled by parameters.</w:t>
      </w:r>
    </w:p>
    <w:p w14:paraId="3A05C8CA" w14:textId="77777777" w:rsidR="0046653A" w:rsidRPr="00011CDF" w:rsidRDefault="0046653A" w:rsidP="0046653A">
      <w:pPr>
        <w:rPr>
          <w:b/>
          <w:lang w:val="en-GB" w:eastAsia="zh-CN"/>
        </w:rPr>
      </w:pPr>
    </w:p>
    <w:p w14:paraId="0AF4BE3C" w14:textId="77777777" w:rsidR="00284961" w:rsidRPr="00284961" w:rsidRDefault="00284961" w:rsidP="00284961">
      <w:pPr>
        <w:pStyle w:val="Heading1"/>
      </w:pPr>
      <w:r w:rsidRPr="00284961">
        <w:t xml:space="preserve">Reference </w:t>
      </w:r>
    </w:p>
    <w:p w14:paraId="6A32B6E5" w14:textId="77777777" w:rsidR="009723A2" w:rsidRDefault="006053B1" w:rsidP="006053B1">
      <w:pPr>
        <w:pStyle w:val="ListParagraph"/>
        <w:numPr>
          <w:ilvl w:val="0"/>
          <w:numId w:val="10"/>
        </w:numPr>
        <w:ind w:firstLineChars="0"/>
        <w:rPr>
          <w:rFonts w:eastAsia="MS Mincho" w:cs="Arial"/>
          <w:bCs/>
          <w:sz w:val="24"/>
          <w:szCs w:val="24"/>
        </w:rPr>
      </w:pPr>
      <w:bookmarkStart w:id="7" w:name="_Ref470186095"/>
      <w:r>
        <w:rPr>
          <w:rFonts w:eastAsia="MS Mincho" w:cs="Arial"/>
          <w:bCs/>
          <w:sz w:val="24"/>
          <w:szCs w:val="24"/>
        </w:rPr>
        <w:t xml:space="preserve">R1-1611081, </w:t>
      </w:r>
      <w:r w:rsidRPr="006053B1">
        <w:rPr>
          <w:rFonts w:eastAsia="MS Mincho" w:cs="Arial"/>
          <w:bCs/>
          <w:sz w:val="24"/>
          <w:szCs w:val="24"/>
        </w:rPr>
        <w:t>Final Report of 3GPP TSG RAN WG1 #86bis v1.0.0</w:t>
      </w:r>
      <w:bookmarkEnd w:id="7"/>
    </w:p>
    <w:p w14:paraId="369F6AC0" w14:textId="77777777" w:rsidR="00B51993" w:rsidRDefault="00B51993" w:rsidP="00B51993">
      <w:pPr>
        <w:pStyle w:val="ListParagraph"/>
        <w:numPr>
          <w:ilvl w:val="0"/>
          <w:numId w:val="10"/>
        </w:numPr>
        <w:ind w:firstLineChars="0"/>
        <w:rPr>
          <w:rFonts w:eastAsia="MS Mincho" w:cs="Arial"/>
          <w:bCs/>
          <w:sz w:val="24"/>
          <w:szCs w:val="24"/>
        </w:rPr>
      </w:pPr>
      <w:bookmarkStart w:id="8" w:name="_Ref473200486"/>
      <w:r w:rsidRPr="00B51993">
        <w:rPr>
          <w:rFonts w:eastAsia="MS Mincho" w:cs="Arial"/>
          <w:bCs/>
          <w:sz w:val="24"/>
          <w:szCs w:val="24"/>
        </w:rPr>
        <w:t>RAN1 Chairman’s Notes</w:t>
      </w:r>
      <w:r>
        <w:rPr>
          <w:rFonts w:eastAsia="MS Mincho" w:cs="Arial"/>
          <w:bCs/>
          <w:sz w:val="24"/>
          <w:szCs w:val="24"/>
        </w:rPr>
        <w:t xml:space="preserve">, </w:t>
      </w:r>
      <w:r w:rsidRPr="00B51993">
        <w:rPr>
          <w:rFonts w:eastAsia="MS Mincho" w:cs="Arial"/>
          <w:bCs/>
          <w:sz w:val="24"/>
          <w:szCs w:val="24"/>
        </w:rPr>
        <w:t>3GP</w:t>
      </w:r>
      <w:r>
        <w:rPr>
          <w:rFonts w:eastAsia="MS Mincho" w:cs="Arial"/>
          <w:bCs/>
          <w:sz w:val="24"/>
          <w:szCs w:val="24"/>
        </w:rPr>
        <w:t xml:space="preserve">P TSG RAN WG1 Meeting NR Ad-Hoc </w:t>
      </w:r>
      <w:r w:rsidRPr="00B51993">
        <w:rPr>
          <w:rFonts w:eastAsia="MS Mincho" w:cs="Arial"/>
          <w:bCs/>
          <w:sz w:val="24"/>
          <w:szCs w:val="24"/>
        </w:rPr>
        <w:t>Spokane, USA, 16th – 20th January 2017</w:t>
      </w:r>
      <w:bookmarkEnd w:id="8"/>
    </w:p>
    <w:p w14:paraId="1CCF0F62" w14:textId="77777777" w:rsidR="00B51993" w:rsidRDefault="00B51993" w:rsidP="00B51993">
      <w:pPr>
        <w:pStyle w:val="ListParagraph"/>
        <w:numPr>
          <w:ilvl w:val="0"/>
          <w:numId w:val="10"/>
        </w:numPr>
        <w:ind w:firstLineChars="0"/>
        <w:rPr>
          <w:rFonts w:eastAsia="MS Mincho" w:cs="Arial"/>
          <w:bCs/>
          <w:sz w:val="24"/>
          <w:szCs w:val="24"/>
        </w:rPr>
      </w:pPr>
      <w:bookmarkStart w:id="9" w:name="_Ref473200472"/>
      <w:r w:rsidRPr="00B51993">
        <w:rPr>
          <w:rFonts w:eastAsia="MS Mincho" w:cs="Arial"/>
          <w:bCs/>
          <w:sz w:val="24"/>
          <w:szCs w:val="24"/>
        </w:rPr>
        <w:t>R1-1701338</w:t>
      </w:r>
      <w:r>
        <w:rPr>
          <w:rFonts w:eastAsia="MS Mincho" w:cs="Arial"/>
          <w:bCs/>
          <w:sz w:val="24"/>
          <w:szCs w:val="24"/>
        </w:rPr>
        <w:t>, “</w:t>
      </w:r>
      <w:r w:rsidRPr="00B51993">
        <w:rPr>
          <w:rFonts w:eastAsia="MS Mincho" w:cs="Arial"/>
          <w:bCs/>
          <w:sz w:val="24"/>
          <w:szCs w:val="24"/>
        </w:rPr>
        <w:t>WF on Type I CSI Codebook</w:t>
      </w:r>
      <w:r>
        <w:rPr>
          <w:rFonts w:eastAsia="MS Mincho" w:cs="Arial"/>
          <w:bCs/>
          <w:sz w:val="24"/>
          <w:szCs w:val="24"/>
        </w:rPr>
        <w:t xml:space="preserve">”, </w:t>
      </w:r>
      <w:r w:rsidRPr="00B51993">
        <w:rPr>
          <w:rFonts w:eastAsia="MS Mincho" w:cs="Arial"/>
          <w:bCs/>
          <w:sz w:val="24"/>
          <w:szCs w:val="24"/>
        </w:rPr>
        <w:t>Huawei, HiSi</w:t>
      </w:r>
      <w:bookmarkEnd w:id="9"/>
    </w:p>
    <w:p w14:paraId="4E8DEEF4" w14:textId="77777777" w:rsidR="00B51993" w:rsidRDefault="00B51993" w:rsidP="00AD2977">
      <w:pPr>
        <w:pStyle w:val="ListParagraph"/>
        <w:numPr>
          <w:ilvl w:val="0"/>
          <w:numId w:val="10"/>
        </w:numPr>
        <w:ind w:firstLineChars="0"/>
        <w:jc w:val="left"/>
        <w:rPr>
          <w:rFonts w:eastAsia="MS Mincho" w:cs="Arial"/>
          <w:bCs/>
          <w:sz w:val="24"/>
          <w:szCs w:val="24"/>
        </w:rPr>
      </w:pPr>
      <w:bookmarkStart w:id="10" w:name="_Ref473200478"/>
      <w:r w:rsidRPr="00B51993">
        <w:rPr>
          <w:rFonts w:eastAsia="MS Mincho" w:cs="Arial"/>
          <w:bCs/>
          <w:sz w:val="24"/>
          <w:szCs w:val="24"/>
        </w:rPr>
        <w:t>R1-1701499</w:t>
      </w:r>
      <w:r>
        <w:rPr>
          <w:rFonts w:eastAsia="MS Mincho" w:cs="Arial"/>
          <w:bCs/>
          <w:sz w:val="24"/>
          <w:szCs w:val="24"/>
        </w:rPr>
        <w:t>, “</w:t>
      </w:r>
      <w:r w:rsidRPr="00B51993">
        <w:rPr>
          <w:rFonts w:eastAsia="MS Mincho" w:cs="Arial"/>
          <w:bCs/>
          <w:sz w:val="24"/>
          <w:szCs w:val="24"/>
        </w:rPr>
        <w:t>WF on Type II Codebook</w:t>
      </w:r>
      <w:r>
        <w:rPr>
          <w:rFonts w:eastAsia="MS Mincho" w:cs="Arial"/>
          <w:bCs/>
          <w:sz w:val="24"/>
          <w:szCs w:val="24"/>
        </w:rPr>
        <w:t xml:space="preserve">”, </w:t>
      </w:r>
      <w:r w:rsidRPr="00B51993">
        <w:rPr>
          <w:rFonts w:eastAsia="MS Mincho" w:cs="Arial"/>
          <w:bCs/>
          <w:sz w:val="24"/>
          <w:szCs w:val="24"/>
        </w:rPr>
        <w:tab/>
        <w:t>Samsung,</w:t>
      </w:r>
      <w:r>
        <w:rPr>
          <w:rFonts w:eastAsia="MS Mincho" w:cs="Arial"/>
          <w:bCs/>
          <w:sz w:val="24"/>
          <w:szCs w:val="24"/>
        </w:rPr>
        <w:t xml:space="preserve"> </w:t>
      </w:r>
      <w:r w:rsidRPr="00B51993">
        <w:rPr>
          <w:rFonts w:eastAsia="MS Mincho" w:cs="Arial"/>
          <w:bCs/>
          <w:sz w:val="24"/>
          <w:szCs w:val="24"/>
        </w:rPr>
        <w:t>Ericsson, Huawei, HiSilicon</w:t>
      </w:r>
      <w:bookmarkEnd w:id="10"/>
    </w:p>
    <w:p w14:paraId="3614E401" w14:textId="77777777" w:rsidR="0039076D" w:rsidRDefault="0039076D" w:rsidP="0039076D">
      <w:pPr>
        <w:pStyle w:val="ListParagraph"/>
        <w:numPr>
          <w:ilvl w:val="0"/>
          <w:numId w:val="10"/>
        </w:numPr>
        <w:ind w:firstLineChars="0"/>
        <w:rPr>
          <w:rFonts w:eastAsia="MS Mincho" w:cs="Arial"/>
          <w:bCs/>
          <w:sz w:val="24"/>
          <w:szCs w:val="24"/>
        </w:rPr>
      </w:pPr>
      <w:bookmarkStart w:id="11" w:name="_Ref473205829"/>
      <w:r w:rsidRPr="0039076D">
        <w:rPr>
          <w:rFonts w:eastAsia="MS Mincho" w:cs="Arial"/>
          <w:bCs/>
          <w:sz w:val="24"/>
          <w:szCs w:val="24"/>
        </w:rPr>
        <w:t>R1-1701403</w:t>
      </w:r>
      <w:r>
        <w:rPr>
          <w:rFonts w:eastAsia="MS Mincho" w:cs="Arial"/>
          <w:bCs/>
          <w:sz w:val="24"/>
          <w:szCs w:val="24"/>
        </w:rPr>
        <w:t>,</w:t>
      </w:r>
      <w:r w:rsidRPr="0039076D">
        <w:rPr>
          <w:rFonts w:eastAsia="MS Mincho" w:cs="Arial"/>
          <w:bCs/>
          <w:sz w:val="24"/>
          <w:szCs w:val="24"/>
        </w:rPr>
        <w:t xml:space="preserve"> </w:t>
      </w:r>
      <w:r>
        <w:rPr>
          <w:rFonts w:eastAsia="MS Mincho" w:cs="Arial"/>
          <w:bCs/>
          <w:sz w:val="24"/>
          <w:szCs w:val="24"/>
        </w:rPr>
        <w:t>“</w:t>
      </w:r>
      <w:r w:rsidRPr="0039076D">
        <w:rPr>
          <w:rFonts w:eastAsia="MS Mincho" w:cs="Arial"/>
          <w:bCs/>
          <w:sz w:val="24"/>
          <w:szCs w:val="24"/>
        </w:rPr>
        <w:t>WF on codebook design for DL multi-panel MIMO in NR</w:t>
      </w:r>
      <w:r>
        <w:rPr>
          <w:rFonts w:eastAsia="MS Mincho" w:cs="Arial"/>
          <w:bCs/>
          <w:sz w:val="24"/>
          <w:szCs w:val="24"/>
        </w:rPr>
        <w:t xml:space="preserve">”, </w:t>
      </w:r>
      <w:r w:rsidRPr="0039076D">
        <w:rPr>
          <w:rFonts w:eastAsia="MS Mincho" w:cs="Arial"/>
          <w:bCs/>
          <w:sz w:val="24"/>
          <w:szCs w:val="24"/>
        </w:rPr>
        <w:t>Huawei, HiSilicon, Intel</w:t>
      </w:r>
      <w:bookmarkEnd w:id="11"/>
    </w:p>
    <w:p w14:paraId="5A7BBA47" w14:textId="77777777" w:rsidR="00AD2977" w:rsidRPr="00B51993" w:rsidRDefault="00AD2977" w:rsidP="00AD2977">
      <w:pPr>
        <w:pStyle w:val="ListParagraph"/>
        <w:numPr>
          <w:ilvl w:val="0"/>
          <w:numId w:val="10"/>
        </w:numPr>
        <w:ind w:firstLineChars="0"/>
        <w:rPr>
          <w:rFonts w:eastAsia="MS Mincho" w:cs="Arial"/>
          <w:bCs/>
          <w:sz w:val="24"/>
          <w:szCs w:val="24"/>
        </w:rPr>
      </w:pPr>
      <w:bookmarkStart w:id="12" w:name="_Ref473295129"/>
      <w:r w:rsidRPr="00AD2977">
        <w:rPr>
          <w:rFonts w:eastAsia="MS Mincho" w:cs="Arial"/>
          <w:bCs/>
          <w:sz w:val="24"/>
          <w:szCs w:val="24"/>
        </w:rPr>
        <w:t>R1-1700286</w:t>
      </w:r>
      <w:r>
        <w:rPr>
          <w:rFonts w:eastAsia="MS Mincho" w:cs="Arial"/>
          <w:bCs/>
          <w:sz w:val="24"/>
          <w:szCs w:val="24"/>
        </w:rPr>
        <w:t>, “</w:t>
      </w:r>
      <w:r w:rsidRPr="00AD2977">
        <w:rPr>
          <w:rFonts w:eastAsia="MS Mincho" w:cs="Arial"/>
          <w:bCs/>
          <w:sz w:val="24"/>
          <w:szCs w:val="24"/>
        </w:rPr>
        <w:t>On the explicit feedback for NR</w:t>
      </w:r>
      <w:r>
        <w:rPr>
          <w:rFonts w:eastAsia="MS Mincho" w:cs="Arial"/>
          <w:bCs/>
          <w:sz w:val="24"/>
          <w:szCs w:val="24"/>
        </w:rPr>
        <w:t>”,</w:t>
      </w:r>
      <w:r w:rsidRPr="00AD2977">
        <w:t xml:space="preserve"> </w:t>
      </w:r>
      <w:r w:rsidRPr="00AD2977">
        <w:rPr>
          <w:rFonts w:eastAsia="MS Mincho" w:cs="Arial"/>
          <w:bCs/>
          <w:sz w:val="24"/>
          <w:szCs w:val="24"/>
        </w:rPr>
        <w:t>Spreadtrum Communications</w:t>
      </w:r>
      <w:bookmarkEnd w:id="12"/>
    </w:p>
    <w:p w14:paraId="57A60D4F" w14:textId="77777777" w:rsidR="007B66A0" w:rsidRPr="007B66A0" w:rsidRDefault="007B66A0" w:rsidP="007B66A0">
      <w:pPr>
        <w:pStyle w:val="ListParagraph"/>
        <w:numPr>
          <w:ilvl w:val="0"/>
          <w:numId w:val="10"/>
        </w:numPr>
        <w:ind w:firstLineChars="0"/>
        <w:rPr>
          <w:rFonts w:eastAsia="MS Mincho" w:cs="Arial"/>
          <w:bCs/>
          <w:sz w:val="24"/>
          <w:szCs w:val="24"/>
        </w:rPr>
      </w:pPr>
      <w:bookmarkStart w:id="13" w:name="_Ref470697392"/>
      <w:r w:rsidRPr="007B66A0">
        <w:rPr>
          <w:rFonts w:eastAsia="MS Mincho" w:cs="Arial"/>
          <w:bCs/>
          <w:sz w:val="24"/>
          <w:szCs w:val="24"/>
        </w:rPr>
        <w:t>3GPP TR 38.900, “Study on channel model for frequency spectrum above 6 GHz”</w:t>
      </w:r>
      <w:bookmarkEnd w:id="13"/>
    </w:p>
    <w:p w14:paraId="18596F89" w14:textId="77777777" w:rsidR="007B66A0" w:rsidRPr="007B66A0" w:rsidRDefault="007B66A0" w:rsidP="007B66A0">
      <w:pPr>
        <w:pStyle w:val="ListParagraph"/>
        <w:numPr>
          <w:ilvl w:val="0"/>
          <w:numId w:val="10"/>
        </w:numPr>
        <w:ind w:firstLineChars="0"/>
        <w:rPr>
          <w:rFonts w:eastAsia="MS Mincho" w:cs="Arial"/>
          <w:bCs/>
          <w:sz w:val="24"/>
          <w:szCs w:val="24"/>
        </w:rPr>
      </w:pPr>
      <w:bookmarkStart w:id="14" w:name="_Ref470697394"/>
      <w:r w:rsidRPr="007B66A0">
        <w:rPr>
          <w:rFonts w:eastAsia="MS Mincho" w:cs="Arial"/>
          <w:bCs/>
          <w:sz w:val="24"/>
          <w:szCs w:val="24"/>
        </w:rPr>
        <w:t>NTT DOCOMO, INC, “Offline dicussion further updated sumary of evaluation assumptions for NR“, R1-168547</w:t>
      </w:r>
      <w:bookmarkEnd w:id="14"/>
    </w:p>
    <w:sectPr w:rsidR="007B66A0" w:rsidRPr="007B66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B68B2" w14:textId="77777777" w:rsidR="000A022A" w:rsidRDefault="000A022A" w:rsidP="00284961">
      <w:pPr>
        <w:spacing w:after="0"/>
      </w:pPr>
      <w:r>
        <w:separator/>
      </w:r>
    </w:p>
  </w:endnote>
  <w:endnote w:type="continuationSeparator" w:id="0">
    <w:p w14:paraId="495E9369" w14:textId="77777777" w:rsidR="000A022A" w:rsidRDefault="000A022A"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57C7D" w14:textId="77777777" w:rsidR="000A022A" w:rsidRDefault="000A022A" w:rsidP="00284961">
      <w:pPr>
        <w:spacing w:after="0"/>
      </w:pPr>
      <w:r>
        <w:separator/>
      </w:r>
    </w:p>
  </w:footnote>
  <w:footnote w:type="continuationSeparator" w:id="0">
    <w:p w14:paraId="3B87DDB8" w14:textId="77777777" w:rsidR="000A022A" w:rsidRDefault="000A022A"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9">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3">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8">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0">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4">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6">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1">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9"/>
  </w:num>
  <w:num w:numId="6">
    <w:abstractNumId w:val="7"/>
  </w:num>
  <w:num w:numId="7">
    <w:abstractNumId w:val="8"/>
  </w:num>
  <w:num w:numId="8">
    <w:abstractNumId w:val="25"/>
  </w:num>
  <w:num w:numId="9">
    <w:abstractNumId w:val="9"/>
  </w:num>
  <w:num w:numId="10">
    <w:abstractNumId w:val="16"/>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8"/>
  </w:num>
  <w:num w:numId="13">
    <w:abstractNumId w:val="20"/>
  </w:num>
  <w:num w:numId="14">
    <w:abstractNumId w:val="14"/>
  </w:num>
  <w:num w:numId="15">
    <w:abstractNumId w:val="23"/>
  </w:num>
  <w:num w:numId="16">
    <w:abstractNumId w:val="30"/>
  </w:num>
  <w:num w:numId="17">
    <w:abstractNumId w:val="21"/>
  </w:num>
  <w:num w:numId="18">
    <w:abstractNumId w:val="28"/>
  </w:num>
  <w:num w:numId="19">
    <w:abstractNumId w:val="11"/>
  </w:num>
  <w:num w:numId="20">
    <w:abstractNumId w:val="31"/>
  </w:num>
  <w:num w:numId="21">
    <w:abstractNumId w:val="4"/>
  </w:num>
  <w:num w:numId="22">
    <w:abstractNumId w:val="10"/>
  </w:num>
  <w:num w:numId="23">
    <w:abstractNumId w:val="13"/>
  </w:num>
  <w:num w:numId="24">
    <w:abstractNumId w:val="5"/>
  </w:num>
  <w:num w:numId="25">
    <w:abstractNumId w:val="15"/>
  </w:num>
  <w:num w:numId="26">
    <w:abstractNumId w:val="6"/>
  </w:num>
  <w:num w:numId="27">
    <w:abstractNumId w:val="26"/>
  </w:num>
  <w:num w:numId="28">
    <w:abstractNumId w:val="27"/>
  </w:num>
  <w:num w:numId="29">
    <w:abstractNumId w:val="29"/>
  </w:num>
  <w:num w:numId="30">
    <w:abstractNumId w:val="17"/>
  </w:num>
  <w:num w:numId="31">
    <w:abstractNumId w:val="3"/>
  </w:num>
  <w:num w:numId="32">
    <w:abstractNumId w:val="2"/>
  </w:num>
  <w:num w:numId="33">
    <w:abstractNumId w:val="24"/>
  </w:num>
  <w:num w:numId="34">
    <w:abstractNumId w:val="22"/>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53B9"/>
    <w:rsid w:val="0002542D"/>
    <w:rsid w:val="00025AEB"/>
    <w:rsid w:val="000265EF"/>
    <w:rsid w:val="000265FD"/>
    <w:rsid w:val="000302CD"/>
    <w:rsid w:val="000338A1"/>
    <w:rsid w:val="000350AC"/>
    <w:rsid w:val="00042D29"/>
    <w:rsid w:val="00043314"/>
    <w:rsid w:val="00044AA8"/>
    <w:rsid w:val="00045E46"/>
    <w:rsid w:val="00046AA1"/>
    <w:rsid w:val="000478D7"/>
    <w:rsid w:val="000505CD"/>
    <w:rsid w:val="00052FE3"/>
    <w:rsid w:val="00054004"/>
    <w:rsid w:val="00054A31"/>
    <w:rsid w:val="00061D4F"/>
    <w:rsid w:val="00063295"/>
    <w:rsid w:val="00065D12"/>
    <w:rsid w:val="000676E0"/>
    <w:rsid w:val="000679BB"/>
    <w:rsid w:val="00074623"/>
    <w:rsid w:val="00076342"/>
    <w:rsid w:val="00076C89"/>
    <w:rsid w:val="0008368E"/>
    <w:rsid w:val="00083C9E"/>
    <w:rsid w:val="00084D17"/>
    <w:rsid w:val="00084EC6"/>
    <w:rsid w:val="00086E5E"/>
    <w:rsid w:val="0009464F"/>
    <w:rsid w:val="000A022A"/>
    <w:rsid w:val="000A08CC"/>
    <w:rsid w:val="000A3AC7"/>
    <w:rsid w:val="000B7F48"/>
    <w:rsid w:val="000C307C"/>
    <w:rsid w:val="000D09E5"/>
    <w:rsid w:val="000D30DB"/>
    <w:rsid w:val="000D3C79"/>
    <w:rsid w:val="000D74AD"/>
    <w:rsid w:val="000E1185"/>
    <w:rsid w:val="000E1FD8"/>
    <w:rsid w:val="000E2726"/>
    <w:rsid w:val="000F1555"/>
    <w:rsid w:val="000F6AC6"/>
    <w:rsid w:val="00101213"/>
    <w:rsid w:val="001030E6"/>
    <w:rsid w:val="00105E6C"/>
    <w:rsid w:val="00106020"/>
    <w:rsid w:val="00107F97"/>
    <w:rsid w:val="001100AD"/>
    <w:rsid w:val="00117A16"/>
    <w:rsid w:val="001200F6"/>
    <w:rsid w:val="001214A8"/>
    <w:rsid w:val="00124C30"/>
    <w:rsid w:val="00130C45"/>
    <w:rsid w:val="0013154D"/>
    <w:rsid w:val="00132CE4"/>
    <w:rsid w:val="001349EC"/>
    <w:rsid w:val="001453AA"/>
    <w:rsid w:val="00150181"/>
    <w:rsid w:val="0015255F"/>
    <w:rsid w:val="0015453B"/>
    <w:rsid w:val="001545E2"/>
    <w:rsid w:val="00154B45"/>
    <w:rsid w:val="00155047"/>
    <w:rsid w:val="00155573"/>
    <w:rsid w:val="00165AD6"/>
    <w:rsid w:val="0016611A"/>
    <w:rsid w:val="00166B74"/>
    <w:rsid w:val="00170022"/>
    <w:rsid w:val="00170562"/>
    <w:rsid w:val="00177303"/>
    <w:rsid w:val="00180214"/>
    <w:rsid w:val="00184AB9"/>
    <w:rsid w:val="001A05F0"/>
    <w:rsid w:val="001A3B66"/>
    <w:rsid w:val="001A3BE5"/>
    <w:rsid w:val="001A418F"/>
    <w:rsid w:val="001A590C"/>
    <w:rsid w:val="001B0218"/>
    <w:rsid w:val="001B6716"/>
    <w:rsid w:val="001C2BB3"/>
    <w:rsid w:val="001D08B1"/>
    <w:rsid w:val="001E4601"/>
    <w:rsid w:val="001E6809"/>
    <w:rsid w:val="001F02E3"/>
    <w:rsid w:val="001F3634"/>
    <w:rsid w:val="001F399C"/>
    <w:rsid w:val="001F6998"/>
    <w:rsid w:val="001F6E07"/>
    <w:rsid w:val="001F76EF"/>
    <w:rsid w:val="002043D9"/>
    <w:rsid w:val="00205008"/>
    <w:rsid w:val="00205A83"/>
    <w:rsid w:val="00206B19"/>
    <w:rsid w:val="002161B7"/>
    <w:rsid w:val="00217A82"/>
    <w:rsid w:val="002219C8"/>
    <w:rsid w:val="0022450E"/>
    <w:rsid w:val="00234EC7"/>
    <w:rsid w:val="002367DD"/>
    <w:rsid w:val="0024689E"/>
    <w:rsid w:val="002469E4"/>
    <w:rsid w:val="00246E6E"/>
    <w:rsid w:val="002474EE"/>
    <w:rsid w:val="00247EBF"/>
    <w:rsid w:val="00251568"/>
    <w:rsid w:val="00252508"/>
    <w:rsid w:val="00256046"/>
    <w:rsid w:val="002618E0"/>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6619"/>
    <w:rsid w:val="00296694"/>
    <w:rsid w:val="002967A8"/>
    <w:rsid w:val="002B0D16"/>
    <w:rsid w:val="002B1EF4"/>
    <w:rsid w:val="002B314F"/>
    <w:rsid w:val="002C3492"/>
    <w:rsid w:val="002D0470"/>
    <w:rsid w:val="002D3A6F"/>
    <w:rsid w:val="002E337B"/>
    <w:rsid w:val="002E5428"/>
    <w:rsid w:val="002F2B00"/>
    <w:rsid w:val="002F3498"/>
    <w:rsid w:val="002F7EA5"/>
    <w:rsid w:val="003002BB"/>
    <w:rsid w:val="00300886"/>
    <w:rsid w:val="003073E1"/>
    <w:rsid w:val="0031690A"/>
    <w:rsid w:val="00322768"/>
    <w:rsid w:val="00322DF5"/>
    <w:rsid w:val="00323A1A"/>
    <w:rsid w:val="0033255D"/>
    <w:rsid w:val="00332CC6"/>
    <w:rsid w:val="0033401A"/>
    <w:rsid w:val="00337258"/>
    <w:rsid w:val="00340B50"/>
    <w:rsid w:val="00343CD0"/>
    <w:rsid w:val="00343FF4"/>
    <w:rsid w:val="0034495A"/>
    <w:rsid w:val="0034567C"/>
    <w:rsid w:val="00345F4C"/>
    <w:rsid w:val="00350AC5"/>
    <w:rsid w:val="00353087"/>
    <w:rsid w:val="0035387D"/>
    <w:rsid w:val="00353DC5"/>
    <w:rsid w:val="00354F65"/>
    <w:rsid w:val="00361CC3"/>
    <w:rsid w:val="0036246D"/>
    <w:rsid w:val="00363614"/>
    <w:rsid w:val="00364071"/>
    <w:rsid w:val="0038013B"/>
    <w:rsid w:val="003815C8"/>
    <w:rsid w:val="003877D8"/>
    <w:rsid w:val="0039076D"/>
    <w:rsid w:val="00391490"/>
    <w:rsid w:val="00391EA9"/>
    <w:rsid w:val="0039540C"/>
    <w:rsid w:val="003A555C"/>
    <w:rsid w:val="003B0014"/>
    <w:rsid w:val="003B32B5"/>
    <w:rsid w:val="003B3E5A"/>
    <w:rsid w:val="003B5986"/>
    <w:rsid w:val="003B63BA"/>
    <w:rsid w:val="003B64DE"/>
    <w:rsid w:val="003C0126"/>
    <w:rsid w:val="003C2C5D"/>
    <w:rsid w:val="003C31FD"/>
    <w:rsid w:val="003C4883"/>
    <w:rsid w:val="003C4A18"/>
    <w:rsid w:val="003C7D50"/>
    <w:rsid w:val="003D385A"/>
    <w:rsid w:val="003D5BBB"/>
    <w:rsid w:val="003D64F2"/>
    <w:rsid w:val="003E3616"/>
    <w:rsid w:val="003E596B"/>
    <w:rsid w:val="003F1223"/>
    <w:rsid w:val="003F3718"/>
    <w:rsid w:val="00404EB8"/>
    <w:rsid w:val="00405D9E"/>
    <w:rsid w:val="00405FE6"/>
    <w:rsid w:val="0040737A"/>
    <w:rsid w:val="00410ADE"/>
    <w:rsid w:val="00416C6A"/>
    <w:rsid w:val="004213E9"/>
    <w:rsid w:val="00422A7F"/>
    <w:rsid w:val="004231A6"/>
    <w:rsid w:val="00425B04"/>
    <w:rsid w:val="00427EBD"/>
    <w:rsid w:val="00432E7B"/>
    <w:rsid w:val="004368B3"/>
    <w:rsid w:val="00437042"/>
    <w:rsid w:val="00445603"/>
    <w:rsid w:val="00447E80"/>
    <w:rsid w:val="00450D6A"/>
    <w:rsid w:val="0045532F"/>
    <w:rsid w:val="00461A80"/>
    <w:rsid w:val="00461BD8"/>
    <w:rsid w:val="00462D67"/>
    <w:rsid w:val="0046526A"/>
    <w:rsid w:val="0046653A"/>
    <w:rsid w:val="00466CE3"/>
    <w:rsid w:val="0047314A"/>
    <w:rsid w:val="00473441"/>
    <w:rsid w:val="004740F3"/>
    <w:rsid w:val="0047580F"/>
    <w:rsid w:val="00482572"/>
    <w:rsid w:val="00494311"/>
    <w:rsid w:val="00494D38"/>
    <w:rsid w:val="00495074"/>
    <w:rsid w:val="004B1F89"/>
    <w:rsid w:val="004B35ED"/>
    <w:rsid w:val="004B7097"/>
    <w:rsid w:val="004B78EE"/>
    <w:rsid w:val="004C0C6D"/>
    <w:rsid w:val="004C40F7"/>
    <w:rsid w:val="004C78C8"/>
    <w:rsid w:val="004D3872"/>
    <w:rsid w:val="004D78F9"/>
    <w:rsid w:val="004E6E7F"/>
    <w:rsid w:val="004F2566"/>
    <w:rsid w:val="004F3130"/>
    <w:rsid w:val="004F354C"/>
    <w:rsid w:val="004F44E5"/>
    <w:rsid w:val="004F6791"/>
    <w:rsid w:val="005039B6"/>
    <w:rsid w:val="0050402E"/>
    <w:rsid w:val="00507909"/>
    <w:rsid w:val="00510A24"/>
    <w:rsid w:val="0051630E"/>
    <w:rsid w:val="00521AE7"/>
    <w:rsid w:val="0052364C"/>
    <w:rsid w:val="0052411C"/>
    <w:rsid w:val="00524365"/>
    <w:rsid w:val="00524A7B"/>
    <w:rsid w:val="00530749"/>
    <w:rsid w:val="005357A2"/>
    <w:rsid w:val="00537E73"/>
    <w:rsid w:val="00555948"/>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4112"/>
    <w:rsid w:val="005B11D0"/>
    <w:rsid w:val="005B2B14"/>
    <w:rsid w:val="005B44E9"/>
    <w:rsid w:val="005C0B9C"/>
    <w:rsid w:val="005C10C5"/>
    <w:rsid w:val="005D2BCB"/>
    <w:rsid w:val="005D3355"/>
    <w:rsid w:val="005D3DDA"/>
    <w:rsid w:val="005D4D19"/>
    <w:rsid w:val="005D5A4A"/>
    <w:rsid w:val="005E06F3"/>
    <w:rsid w:val="005E084D"/>
    <w:rsid w:val="005E2693"/>
    <w:rsid w:val="005E291D"/>
    <w:rsid w:val="005F6C00"/>
    <w:rsid w:val="005F7659"/>
    <w:rsid w:val="006017B7"/>
    <w:rsid w:val="006053B1"/>
    <w:rsid w:val="00607C73"/>
    <w:rsid w:val="00613193"/>
    <w:rsid w:val="00620C8B"/>
    <w:rsid w:val="00621A9F"/>
    <w:rsid w:val="0063071C"/>
    <w:rsid w:val="00630C89"/>
    <w:rsid w:val="006346FA"/>
    <w:rsid w:val="006374E3"/>
    <w:rsid w:val="006411A8"/>
    <w:rsid w:val="006441E7"/>
    <w:rsid w:val="006443FB"/>
    <w:rsid w:val="00644D2F"/>
    <w:rsid w:val="006472FE"/>
    <w:rsid w:val="00647A73"/>
    <w:rsid w:val="006515F2"/>
    <w:rsid w:val="00652580"/>
    <w:rsid w:val="00654116"/>
    <w:rsid w:val="00655560"/>
    <w:rsid w:val="006564BD"/>
    <w:rsid w:val="00660244"/>
    <w:rsid w:val="006626A8"/>
    <w:rsid w:val="006669B7"/>
    <w:rsid w:val="00667910"/>
    <w:rsid w:val="0067047B"/>
    <w:rsid w:val="00673699"/>
    <w:rsid w:val="0067694F"/>
    <w:rsid w:val="00676B51"/>
    <w:rsid w:val="00676CE7"/>
    <w:rsid w:val="006806A4"/>
    <w:rsid w:val="00686AC9"/>
    <w:rsid w:val="0069146C"/>
    <w:rsid w:val="00691BD4"/>
    <w:rsid w:val="0069377D"/>
    <w:rsid w:val="006A0129"/>
    <w:rsid w:val="006B081F"/>
    <w:rsid w:val="006B185F"/>
    <w:rsid w:val="006B5645"/>
    <w:rsid w:val="006B7238"/>
    <w:rsid w:val="006C10CE"/>
    <w:rsid w:val="006D66CF"/>
    <w:rsid w:val="006E1FE8"/>
    <w:rsid w:val="006E6A62"/>
    <w:rsid w:val="006F52D0"/>
    <w:rsid w:val="006F5E42"/>
    <w:rsid w:val="006F7016"/>
    <w:rsid w:val="006F74A1"/>
    <w:rsid w:val="006F7A49"/>
    <w:rsid w:val="007052CB"/>
    <w:rsid w:val="007075E5"/>
    <w:rsid w:val="007147EB"/>
    <w:rsid w:val="00717492"/>
    <w:rsid w:val="00720AF5"/>
    <w:rsid w:val="00726CA4"/>
    <w:rsid w:val="00743200"/>
    <w:rsid w:val="007453F4"/>
    <w:rsid w:val="00750588"/>
    <w:rsid w:val="0075605D"/>
    <w:rsid w:val="00756A69"/>
    <w:rsid w:val="007572AA"/>
    <w:rsid w:val="00757FD8"/>
    <w:rsid w:val="00761DF1"/>
    <w:rsid w:val="00762F6B"/>
    <w:rsid w:val="00764FD5"/>
    <w:rsid w:val="0077124F"/>
    <w:rsid w:val="0077223C"/>
    <w:rsid w:val="007754B5"/>
    <w:rsid w:val="00776052"/>
    <w:rsid w:val="00780263"/>
    <w:rsid w:val="00783177"/>
    <w:rsid w:val="0078601D"/>
    <w:rsid w:val="007869A6"/>
    <w:rsid w:val="0079117E"/>
    <w:rsid w:val="00793F29"/>
    <w:rsid w:val="00794F1A"/>
    <w:rsid w:val="00795E88"/>
    <w:rsid w:val="007A1E81"/>
    <w:rsid w:val="007A4C04"/>
    <w:rsid w:val="007B5811"/>
    <w:rsid w:val="007B66A0"/>
    <w:rsid w:val="007B6AE8"/>
    <w:rsid w:val="007C3E55"/>
    <w:rsid w:val="007C4693"/>
    <w:rsid w:val="007D0030"/>
    <w:rsid w:val="007D1F33"/>
    <w:rsid w:val="007D2711"/>
    <w:rsid w:val="007D29AD"/>
    <w:rsid w:val="007D512B"/>
    <w:rsid w:val="007D5F92"/>
    <w:rsid w:val="007F6603"/>
    <w:rsid w:val="007F678A"/>
    <w:rsid w:val="007F6E1E"/>
    <w:rsid w:val="007F7A11"/>
    <w:rsid w:val="00801AC1"/>
    <w:rsid w:val="00801F66"/>
    <w:rsid w:val="00804467"/>
    <w:rsid w:val="00807226"/>
    <w:rsid w:val="00812519"/>
    <w:rsid w:val="008126CD"/>
    <w:rsid w:val="00816EFE"/>
    <w:rsid w:val="00824D8F"/>
    <w:rsid w:val="00825FB7"/>
    <w:rsid w:val="008344E8"/>
    <w:rsid w:val="00842E53"/>
    <w:rsid w:val="0084409F"/>
    <w:rsid w:val="00850764"/>
    <w:rsid w:val="00853544"/>
    <w:rsid w:val="0085744C"/>
    <w:rsid w:val="00873322"/>
    <w:rsid w:val="00874E41"/>
    <w:rsid w:val="0087586D"/>
    <w:rsid w:val="00877774"/>
    <w:rsid w:val="008777AA"/>
    <w:rsid w:val="00891A0A"/>
    <w:rsid w:val="008927D0"/>
    <w:rsid w:val="0089501F"/>
    <w:rsid w:val="00895793"/>
    <w:rsid w:val="00897669"/>
    <w:rsid w:val="008A0DF5"/>
    <w:rsid w:val="008A205D"/>
    <w:rsid w:val="008A525E"/>
    <w:rsid w:val="008B6E87"/>
    <w:rsid w:val="008C0B10"/>
    <w:rsid w:val="008C3BA9"/>
    <w:rsid w:val="008C4012"/>
    <w:rsid w:val="008D43ED"/>
    <w:rsid w:val="008E0C2E"/>
    <w:rsid w:val="008E56F3"/>
    <w:rsid w:val="008E66F6"/>
    <w:rsid w:val="008F12C9"/>
    <w:rsid w:val="008F723C"/>
    <w:rsid w:val="008F73A8"/>
    <w:rsid w:val="008F752C"/>
    <w:rsid w:val="00902A54"/>
    <w:rsid w:val="00904DA5"/>
    <w:rsid w:val="00904FFC"/>
    <w:rsid w:val="0090675F"/>
    <w:rsid w:val="0091047C"/>
    <w:rsid w:val="00910CAE"/>
    <w:rsid w:val="009121D1"/>
    <w:rsid w:val="0091672F"/>
    <w:rsid w:val="009223C5"/>
    <w:rsid w:val="00930622"/>
    <w:rsid w:val="0093183E"/>
    <w:rsid w:val="00933172"/>
    <w:rsid w:val="00933500"/>
    <w:rsid w:val="00941DA7"/>
    <w:rsid w:val="00942E23"/>
    <w:rsid w:val="00942EC6"/>
    <w:rsid w:val="009442FC"/>
    <w:rsid w:val="00950B83"/>
    <w:rsid w:val="00955414"/>
    <w:rsid w:val="00956B5C"/>
    <w:rsid w:val="00962279"/>
    <w:rsid w:val="0096420F"/>
    <w:rsid w:val="0096470D"/>
    <w:rsid w:val="00965A19"/>
    <w:rsid w:val="009723A2"/>
    <w:rsid w:val="0097332C"/>
    <w:rsid w:val="0098708E"/>
    <w:rsid w:val="00993147"/>
    <w:rsid w:val="00993FD8"/>
    <w:rsid w:val="009A08BD"/>
    <w:rsid w:val="009A4C89"/>
    <w:rsid w:val="009A5602"/>
    <w:rsid w:val="009A56D7"/>
    <w:rsid w:val="009C1F59"/>
    <w:rsid w:val="009D0F6E"/>
    <w:rsid w:val="009D0FF3"/>
    <w:rsid w:val="009D5E06"/>
    <w:rsid w:val="009E1AC3"/>
    <w:rsid w:val="009E219A"/>
    <w:rsid w:val="009E2C3E"/>
    <w:rsid w:val="009E2C53"/>
    <w:rsid w:val="009F032B"/>
    <w:rsid w:val="009F12F2"/>
    <w:rsid w:val="009F3AA3"/>
    <w:rsid w:val="009F63BC"/>
    <w:rsid w:val="00A032CB"/>
    <w:rsid w:val="00A10328"/>
    <w:rsid w:val="00A15A99"/>
    <w:rsid w:val="00A174B4"/>
    <w:rsid w:val="00A20858"/>
    <w:rsid w:val="00A24419"/>
    <w:rsid w:val="00A274FF"/>
    <w:rsid w:val="00A31161"/>
    <w:rsid w:val="00A32190"/>
    <w:rsid w:val="00A33ADE"/>
    <w:rsid w:val="00A3561F"/>
    <w:rsid w:val="00A35FD1"/>
    <w:rsid w:val="00A40618"/>
    <w:rsid w:val="00A413D2"/>
    <w:rsid w:val="00A449CE"/>
    <w:rsid w:val="00A51514"/>
    <w:rsid w:val="00A57621"/>
    <w:rsid w:val="00A606DA"/>
    <w:rsid w:val="00A61B4D"/>
    <w:rsid w:val="00A62B78"/>
    <w:rsid w:val="00A67BC5"/>
    <w:rsid w:val="00A85D43"/>
    <w:rsid w:val="00A9423A"/>
    <w:rsid w:val="00A955FF"/>
    <w:rsid w:val="00A96AA8"/>
    <w:rsid w:val="00A9711B"/>
    <w:rsid w:val="00AA219B"/>
    <w:rsid w:val="00AA5938"/>
    <w:rsid w:val="00AB0E80"/>
    <w:rsid w:val="00AB637F"/>
    <w:rsid w:val="00AD2977"/>
    <w:rsid w:val="00AD449C"/>
    <w:rsid w:val="00AD6FAF"/>
    <w:rsid w:val="00AE29B5"/>
    <w:rsid w:val="00AE3BD8"/>
    <w:rsid w:val="00AE5F46"/>
    <w:rsid w:val="00AE72F0"/>
    <w:rsid w:val="00AE76A1"/>
    <w:rsid w:val="00AF368A"/>
    <w:rsid w:val="00B020F4"/>
    <w:rsid w:val="00B04C21"/>
    <w:rsid w:val="00B05AE7"/>
    <w:rsid w:val="00B0785E"/>
    <w:rsid w:val="00B078B3"/>
    <w:rsid w:val="00B10118"/>
    <w:rsid w:val="00B11802"/>
    <w:rsid w:val="00B22DC5"/>
    <w:rsid w:val="00B2627F"/>
    <w:rsid w:val="00B30A63"/>
    <w:rsid w:val="00B31367"/>
    <w:rsid w:val="00B31E4A"/>
    <w:rsid w:val="00B3304B"/>
    <w:rsid w:val="00B40E83"/>
    <w:rsid w:val="00B44527"/>
    <w:rsid w:val="00B4698C"/>
    <w:rsid w:val="00B470CE"/>
    <w:rsid w:val="00B51993"/>
    <w:rsid w:val="00B644B7"/>
    <w:rsid w:val="00B658DD"/>
    <w:rsid w:val="00B7284F"/>
    <w:rsid w:val="00B72E9E"/>
    <w:rsid w:val="00B82FEC"/>
    <w:rsid w:val="00B91A21"/>
    <w:rsid w:val="00B95440"/>
    <w:rsid w:val="00BA4040"/>
    <w:rsid w:val="00BB0DA8"/>
    <w:rsid w:val="00BB0F7B"/>
    <w:rsid w:val="00BB31AB"/>
    <w:rsid w:val="00BB4632"/>
    <w:rsid w:val="00BB5DB6"/>
    <w:rsid w:val="00BD733D"/>
    <w:rsid w:val="00BE12C0"/>
    <w:rsid w:val="00BE2089"/>
    <w:rsid w:val="00BE2C7E"/>
    <w:rsid w:val="00BE3D70"/>
    <w:rsid w:val="00BE6603"/>
    <w:rsid w:val="00BF2C9A"/>
    <w:rsid w:val="00BF4179"/>
    <w:rsid w:val="00C069AC"/>
    <w:rsid w:val="00C113E3"/>
    <w:rsid w:val="00C11A46"/>
    <w:rsid w:val="00C15CC0"/>
    <w:rsid w:val="00C166E3"/>
    <w:rsid w:val="00C17766"/>
    <w:rsid w:val="00C23D71"/>
    <w:rsid w:val="00C315DE"/>
    <w:rsid w:val="00C3460B"/>
    <w:rsid w:val="00C36544"/>
    <w:rsid w:val="00C43D5A"/>
    <w:rsid w:val="00C4756D"/>
    <w:rsid w:val="00C502A0"/>
    <w:rsid w:val="00C526D2"/>
    <w:rsid w:val="00C555BC"/>
    <w:rsid w:val="00C631C9"/>
    <w:rsid w:val="00C634B6"/>
    <w:rsid w:val="00C678E7"/>
    <w:rsid w:val="00C77528"/>
    <w:rsid w:val="00C8114A"/>
    <w:rsid w:val="00C86529"/>
    <w:rsid w:val="00C9098B"/>
    <w:rsid w:val="00C90C3A"/>
    <w:rsid w:val="00C95AE1"/>
    <w:rsid w:val="00CA0DAD"/>
    <w:rsid w:val="00CA6391"/>
    <w:rsid w:val="00CA698B"/>
    <w:rsid w:val="00CB0887"/>
    <w:rsid w:val="00CB25D4"/>
    <w:rsid w:val="00CB3E29"/>
    <w:rsid w:val="00CB3FF9"/>
    <w:rsid w:val="00CC3CB7"/>
    <w:rsid w:val="00CC4CBB"/>
    <w:rsid w:val="00CC639A"/>
    <w:rsid w:val="00CD0C69"/>
    <w:rsid w:val="00CD1144"/>
    <w:rsid w:val="00CD6CB3"/>
    <w:rsid w:val="00CE1E06"/>
    <w:rsid w:val="00CE5ED3"/>
    <w:rsid w:val="00CF0B57"/>
    <w:rsid w:val="00CF0B6D"/>
    <w:rsid w:val="00CF3E3D"/>
    <w:rsid w:val="00D01603"/>
    <w:rsid w:val="00D0660E"/>
    <w:rsid w:val="00D11321"/>
    <w:rsid w:val="00D14E5F"/>
    <w:rsid w:val="00D2187A"/>
    <w:rsid w:val="00D26568"/>
    <w:rsid w:val="00D27868"/>
    <w:rsid w:val="00D43734"/>
    <w:rsid w:val="00D51B53"/>
    <w:rsid w:val="00D51DB7"/>
    <w:rsid w:val="00D52FD9"/>
    <w:rsid w:val="00D561F9"/>
    <w:rsid w:val="00D62694"/>
    <w:rsid w:val="00D633D2"/>
    <w:rsid w:val="00D658B9"/>
    <w:rsid w:val="00D707AC"/>
    <w:rsid w:val="00D70FC5"/>
    <w:rsid w:val="00D74F31"/>
    <w:rsid w:val="00D771F8"/>
    <w:rsid w:val="00D81EE5"/>
    <w:rsid w:val="00D828DF"/>
    <w:rsid w:val="00D92E88"/>
    <w:rsid w:val="00D96A5F"/>
    <w:rsid w:val="00DA01A2"/>
    <w:rsid w:val="00DA3CBC"/>
    <w:rsid w:val="00DA7B84"/>
    <w:rsid w:val="00DB2E15"/>
    <w:rsid w:val="00DB464B"/>
    <w:rsid w:val="00DB72CA"/>
    <w:rsid w:val="00DB7E4D"/>
    <w:rsid w:val="00DD3D56"/>
    <w:rsid w:val="00DD4631"/>
    <w:rsid w:val="00DD4B8B"/>
    <w:rsid w:val="00DD5484"/>
    <w:rsid w:val="00DE39C8"/>
    <w:rsid w:val="00DE4D96"/>
    <w:rsid w:val="00DE4FA8"/>
    <w:rsid w:val="00DE63AC"/>
    <w:rsid w:val="00DE70F7"/>
    <w:rsid w:val="00DF5C1A"/>
    <w:rsid w:val="00E20B89"/>
    <w:rsid w:val="00E32C80"/>
    <w:rsid w:val="00E343BA"/>
    <w:rsid w:val="00E37996"/>
    <w:rsid w:val="00E44819"/>
    <w:rsid w:val="00E476B2"/>
    <w:rsid w:val="00E53822"/>
    <w:rsid w:val="00E569DD"/>
    <w:rsid w:val="00E63720"/>
    <w:rsid w:val="00E66A63"/>
    <w:rsid w:val="00E705DB"/>
    <w:rsid w:val="00E71EB3"/>
    <w:rsid w:val="00E81848"/>
    <w:rsid w:val="00E93D64"/>
    <w:rsid w:val="00E966A3"/>
    <w:rsid w:val="00EA4CD1"/>
    <w:rsid w:val="00EA50C2"/>
    <w:rsid w:val="00EB1DBD"/>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F02"/>
    <w:rsid w:val="00EF2B93"/>
    <w:rsid w:val="00F0088B"/>
    <w:rsid w:val="00F021F6"/>
    <w:rsid w:val="00F047DB"/>
    <w:rsid w:val="00F11EB7"/>
    <w:rsid w:val="00F141C2"/>
    <w:rsid w:val="00F16B94"/>
    <w:rsid w:val="00F22C19"/>
    <w:rsid w:val="00F23077"/>
    <w:rsid w:val="00F26B44"/>
    <w:rsid w:val="00F277CB"/>
    <w:rsid w:val="00F30DF6"/>
    <w:rsid w:val="00F354B4"/>
    <w:rsid w:val="00F40549"/>
    <w:rsid w:val="00F417D6"/>
    <w:rsid w:val="00F43158"/>
    <w:rsid w:val="00F46C28"/>
    <w:rsid w:val="00F5107C"/>
    <w:rsid w:val="00F52427"/>
    <w:rsid w:val="00F52963"/>
    <w:rsid w:val="00F53B24"/>
    <w:rsid w:val="00F61ABC"/>
    <w:rsid w:val="00F61B83"/>
    <w:rsid w:val="00F644DB"/>
    <w:rsid w:val="00F67317"/>
    <w:rsid w:val="00F70C50"/>
    <w:rsid w:val="00F74775"/>
    <w:rsid w:val="00F74FB6"/>
    <w:rsid w:val="00F7542B"/>
    <w:rsid w:val="00F76936"/>
    <w:rsid w:val="00F76A15"/>
    <w:rsid w:val="00F77846"/>
    <w:rsid w:val="00F860BE"/>
    <w:rsid w:val="00F87280"/>
    <w:rsid w:val="00F92D16"/>
    <w:rsid w:val="00F977DE"/>
    <w:rsid w:val="00FA0C34"/>
    <w:rsid w:val="00FB043E"/>
    <w:rsid w:val="00FB26DF"/>
    <w:rsid w:val="00FB4169"/>
    <w:rsid w:val="00FB4736"/>
    <w:rsid w:val="00FB4D49"/>
    <w:rsid w:val="00FB68F2"/>
    <w:rsid w:val="00FB7BB3"/>
    <w:rsid w:val="00FC4440"/>
    <w:rsid w:val="00FC6CA2"/>
    <w:rsid w:val="00FD0536"/>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93769-FAA0-457D-9E35-D3BEECAD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6</cp:revision>
  <dcterms:created xsi:type="dcterms:W3CDTF">2017-02-06T10:39:00Z</dcterms:created>
  <dcterms:modified xsi:type="dcterms:W3CDTF">2017-02-06T10:58:00Z</dcterms:modified>
</cp:coreProperties>
</file>